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0"/>
        <w:tblW w:w="9090" w:type="dxa"/>
        <w:jc w:val="center"/>
        <w:tblLayout w:type="fixed"/>
        <w:tblCellMar>
          <w:top w:w="0" w:type="dxa"/>
          <w:left w:w="108" w:type="dxa"/>
          <w:bottom w:w="0" w:type="dxa"/>
          <w:right w:w="108" w:type="dxa"/>
        </w:tblCellMar>
      </w:tblPr>
      <w:tblGrid>
        <w:gridCol w:w="2700"/>
        <w:gridCol w:w="459"/>
        <w:gridCol w:w="1383"/>
        <w:gridCol w:w="2498"/>
        <w:gridCol w:w="397"/>
        <w:gridCol w:w="1653"/>
      </w:tblGrid>
      <w:tr w14:paraId="65608DE4">
        <w:tblPrEx>
          <w:tblCellMar>
            <w:top w:w="0" w:type="dxa"/>
            <w:left w:w="108" w:type="dxa"/>
            <w:bottom w:w="0" w:type="dxa"/>
            <w:right w:w="108" w:type="dxa"/>
          </w:tblCellMar>
        </w:tblPrEx>
        <w:trPr>
          <w:trHeight w:val="409" w:hRule="atLeast"/>
          <w:jc w:val="center"/>
        </w:trPr>
        <w:tc>
          <w:tcPr>
            <w:tcW w:w="2700" w:type="dxa"/>
            <w:tcBorders>
              <w:top w:val="nil"/>
              <w:left w:val="nil"/>
              <w:bottom w:val="nil"/>
              <w:right w:val="nil"/>
            </w:tcBorders>
            <w:shd w:val="clear" w:color="auto" w:fill="auto"/>
            <w:vAlign w:val="center"/>
          </w:tcPr>
          <w:p w14:paraId="2E89BF2F">
            <w:pPr>
              <w:widowControl/>
              <w:jc w:val="left"/>
              <w:rPr>
                <w:rFonts w:ascii="黑体" w:hAnsi="黑体" w:eastAsia="黑体" w:cs="宋体"/>
                <w:kern w:val="0"/>
                <w:sz w:val="24"/>
                <w:szCs w:val="24"/>
              </w:rPr>
            </w:pPr>
            <w:bookmarkStart w:id="82" w:name="_GoBack"/>
            <w:bookmarkEnd w:id="82"/>
            <w:r>
              <w:rPr>
                <w:rFonts w:hint="eastAsia" w:ascii="黑体" w:hAnsi="黑体" w:eastAsia="黑体" w:cs="宋体"/>
                <w:kern w:val="0"/>
                <w:sz w:val="32"/>
                <w:szCs w:val="32"/>
              </w:rPr>
              <w:t>表一</w:t>
            </w:r>
          </w:p>
        </w:tc>
        <w:tc>
          <w:tcPr>
            <w:tcW w:w="1842" w:type="dxa"/>
            <w:gridSpan w:val="2"/>
            <w:tcBorders>
              <w:top w:val="nil"/>
              <w:left w:val="nil"/>
              <w:bottom w:val="nil"/>
              <w:right w:val="nil"/>
            </w:tcBorders>
            <w:shd w:val="clear" w:color="auto" w:fill="auto"/>
            <w:vAlign w:val="center"/>
          </w:tcPr>
          <w:p w14:paraId="148CBBC4">
            <w:pPr>
              <w:widowControl/>
              <w:jc w:val="left"/>
              <w:rPr>
                <w:rFonts w:ascii="黑体" w:hAnsi="黑体" w:eastAsia="黑体" w:cs="宋体"/>
                <w:kern w:val="0"/>
                <w:sz w:val="24"/>
                <w:szCs w:val="24"/>
              </w:rPr>
            </w:pPr>
          </w:p>
        </w:tc>
        <w:tc>
          <w:tcPr>
            <w:tcW w:w="2498" w:type="dxa"/>
            <w:tcBorders>
              <w:top w:val="nil"/>
              <w:left w:val="nil"/>
              <w:bottom w:val="nil"/>
              <w:right w:val="nil"/>
            </w:tcBorders>
            <w:shd w:val="clear" w:color="auto" w:fill="auto"/>
            <w:vAlign w:val="center"/>
          </w:tcPr>
          <w:p w14:paraId="031AC6BC">
            <w:pPr>
              <w:widowControl/>
              <w:jc w:val="left"/>
              <w:rPr>
                <w:rFonts w:ascii="黑体" w:hAnsi="黑体" w:eastAsia="黑体" w:cs="宋体"/>
                <w:kern w:val="0"/>
                <w:sz w:val="24"/>
                <w:szCs w:val="24"/>
              </w:rPr>
            </w:pPr>
          </w:p>
        </w:tc>
        <w:tc>
          <w:tcPr>
            <w:tcW w:w="2050" w:type="dxa"/>
            <w:gridSpan w:val="2"/>
            <w:tcBorders>
              <w:top w:val="nil"/>
              <w:left w:val="nil"/>
              <w:bottom w:val="nil"/>
              <w:right w:val="nil"/>
            </w:tcBorders>
            <w:shd w:val="clear" w:color="auto" w:fill="auto"/>
            <w:vAlign w:val="center"/>
          </w:tcPr>
          <w:p w14:paraId="5A91CC0C">
            <w:pPr>
              <w:widowControl/>
              <w:tabs>
                <w:tab w:val="left" w:pos="210"/>
              </w:tabs>
              <w:jc w:val="left"/>
              <w:rPr>
                <w:rFonts w:ascii="黑体" w:hAnsi="黑体" w:eastAsia="黑体" w:cs="宋体"/>
                <w:kern w:val="0"/>
                <w:sz w:val="24"/>
                <w:szCs w:val="24"/>
              </w:rPr>
            </w:pPr>
          </w:p>
        </w:tc>
      </w:tr>
      <w:tr w14:paraId="3B183541">
        <w:tblPrEx>
          <w:tblCellMar>
            <w:top w:w="0" w:type="dxa"/>
            <w:left w:w="108" w:type="dxa"/>
            <w:bottom w:w="0" w:type="dxa"/>
            <w:right w:w="108" w:type="dxa"/>
          </w:tblCellMar>
        </w:tblPrEx>
        <w:trPr>
          <w:trHeight w:val="990" w:hRule="atLeast"/>
          <w:jc w:val="center"/>
        </w:trPr>
        <w:tc>
          <w:tcPr>
            <w:tcW w:w="9090" w:type="dxa"/>
            <w:gridSpan w:val="6"/>
            <w:tcBorders>
              <w:top w:val="nil"/>
              <w:left w:val="nil"/>
              <w:bottom w:val="nil"/>
              <w:right w:val="nil"/>
            </w:tcBorders>
            <w:shd w:val="clear" w:color="auto" w:fill="auto"/>
            <w:vAlign w:val="center"/>
          </w:tcPr>
          <w:p w14:paraId="2DFE922F">
            <w:pPr>
              <w:pStyle w:val="48"/>
              <w:rPr>
                <w:sz w:val="24"/>
                <w:szCs w:val="24"/>
              </w:rPr>
            </w:pPr>
            <w:r>
              <w:rPr>
                <w:rFonts w:hint="eastAsia"/>
                <w:sz w:val="44"/>
                <w:szCs w:val="44"/>
              </w:rPr>
              <w:t>20</w:t>
            </w:r>
            <w:r>
              <w:rPr>
                <w:rFonts w:hint="eastAsia"/>
                <w:sz w:val="44"/>
                <w:szCs w:val="44"/>
                <w:lang w:val="en-US" w:eastAsia="zh-CN"/>
              </w:rPr>
              <w:t>25</w:t>
            </w:r>
            <w:r>
              <w:rPr>
                <w:rFonts w:hint="eastAsia"/>
                <w:sz w:val="44"/>
                <w:szCs w:val="44"/>
              </w:rPr>
              <w:t>年一般公共预算收支执行情况总表</w:t>
            </w:r>
          </w:p>
        </w:tc>
      </w:tr>
      <w:tr w14:paraId="7DA2EDA8">
        <w:tblPrEx>
          <w:tblCellMar>
            <w:top w:w="0" w:type="dxa"/>
            <w:left w:w="108" w:type="dxa"/>
            <w:bottom w:w="0" w:type="dxa"/>
            <w:right w:w="108" w:type="dxa"/>
          </w:tblCellMar>
        </w:tblPrEx>
        <w:trPr>
          <w:trHeight w:val="615" w:hRule="atLeast"/>
          <w:jc w:val="center"/>
        </w:trPr>
        <w:tc>
          <w:tcPr>
            <w:tcW w:w="9090" w:type="dxa"/>
            <w:gridSpan w:val="6"/>
            <w:tcBorders>
              <w:top w:val="nil"/>
              <w:left w:val="nil"/>
              <w:bottom w:val="nil"/>
              <w:right w:val="nil"/>
            </w:tcBorders>
            <w:shd w:val="clear" w:color="auto" w:fill="auto"/>
            <w:vAlign w:val="center"/>
          </w:tcPr>
          <w:p w14:paraId="74BEED93">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单位：万元</w:t>
            </w:r>
          </w:p>
        </w:tc>
      </w:tr>
      <w:tr w14:paraId="7B0A64EF">
        <w:tblPrEx>
          <w:tblCellMar>
            <w:top w:w="0" w:type="dxa"/>
            <w:left w:w="108" w:type="dxa"/>
            <w:bottom w:w="0" w:type="dxa"/>
            <w:right w:w="108" w:type="dxa"/>
          </w:tblCellMar>
        </w:tblPrEx>
        <w:trPr>
          <w:trHeight w:val="790" w:hRule="atLeast"/>
          <w:jc w:val="center"/>
        </w:trPr>
        <w:tc>
          <w:tcPr>
            <w:tcW w:w="31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30546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项  目</w:t>
            </w:r>
          </w:p>
        </w:tc>
        <w:tc>
          <w:tcPr>
            <w:tcW w:w="1383" w:type="dxa"/>
            <w:tcBorders>
              <w:top w:val="single" w:color="auto" w:sz="4" w:space="0"/>
              <w:left w:val="nil"/>
              <w:bottom w:val="single" w:color="auto" w:sz="4" w:space="0"/>
              <w:right w:val="single" w:color="auto" w:sz="4" w:space="0"/>
            </w:tcBorders>
            <w:shd w:val="clear" w:color="auto" w:fill="auto"/>
            <w:vAlign w:val="center"/>
          </w:tcPr>
          <w:p w14:paraId="3A805A5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收入</w:t>
            </w:r>
          </w:p>
          <w:p w14:paraId="6B5C5C8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执行数</w:t>
            </w:r>
          </w:p>
        </w:tc>
        <w:tc>
          <w:tcPr>
            <w:tcW w:w="2895" w:type="dxa"/>
            <w:gridSpan w:val="2"/>
            <w:tcBorders>
              <w:top w:val="single" w:color="auto" w:sz="4" w:space="0"/>
              <w:left w:val="nil"/>
              <w:bottom w:val="single" w:color="auto" w:sz="4" w:space="0"/>
              <w:right w:val="single" w:color="auto" w:sz="4" w:space="0"/>
            </w:tcBorders>
            <w:shd w:val="clear" w:color="auto" w:fill="auto"/>
            <w:vAlign w:val="center"/>
          </w:tcPr>
          <w:p w14:paraId="7407BCF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项  目</w:t>
            </w:r>
          </w:p>
        </w:tc>
        <w:tc>
          <w:tcPr>
            <w:tcW w:w="1653" w:type="dxa"/>
            <w:tcBorders>
              <w:top w:val="single" w:color="auto" w:sz="4" w:space="0"/>
              <w:left w:val="nil"/>
              <w:bottom w:val="single" w:color="auto" w:sz="4" w:space="0"/>
              <w:right w:val="single" w:color="auto" w:sz="4" w:space="0"/>
            </w:tcBorders>
            <w:shd w:val="clear" w:color="auto" w:fill="auto"/>
            <w:vAlign w:val="center"/>
          </w:tcPr>
          <w:p w14:paraId="157B473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支出</w:t>
            </w:r>
          </w:p>
          <w:p w14:paraId="4C788D6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执行数</w:t>
            </w:r>
          </w:p>
        </w:tc>
      </w:tr>
      <w:tr w14:paraId="063079B0">
        <w:tblPrEx>
          <w:tblCellMar>
            <w:top w:w="0" w:type="dxa"/>
            <w:left w:w="108" w:type="dxa"/>
            <w:bottom w:w="0" w:type="dxa"/>
            <w:right w:w="108" w:type="dxa"/>
          </w:tblCellMar>
        </w:tblPrEx>
        <w:trPr>
          <w:trHeight w:val="615" w:hRule="atLeast"/>
          <w:jc w:val="center"/>
        </w:trPr>
        <w:tc>
          <w:tcPr>
            <w:tcW w:w="3159" w:type="dxa"/>
            <w:gridSpan w:val="2"/>
            <w:tcBorders>
              <w:top w:val="nil"/>
              <w:left w:val="single" w:color="auto" w:sz="4" w:space="0"/>
              <w:bottom w:val="single" w:color="auto" w:sz="4" w:space="0"/>
              <w:right w:val="single" w:color="auto" w:sz="4" w:space="0"/>
            </w:tcBorders>
            <w:shd w:val="clear" w:color="auto" w:fill="auto"/>
            <w:vAlign w:val="center"/>
          </w:tcPr>
          <w:p w14:paraId="09926781">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本级收入</w:t>
            </w:r>
          </w:p>
        </w:tc>
        <w:tc>
          <w:tcPr>
            <w:tcW w:w="1383" w:type="dxa"/>
            <w:tcBorders>
              <w:top w:val="nil"/>
              <w:left w:val="nil"/>
              <w:bottom w:val="single" w:color="auto" w:sz="4" w:space="0"/>
              <w:right w:val="single" w:color="auto" w:sz="4" w:space="0"/>
            </w:tcBorders>
            <w:shd w:val="clear" w:color="auto" w:fill="auto"/>
            <w:vAlign w:val="center"/>
          </w:tcPr>
          <w:p w14:paraId="083D438F">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169585</w:t>
            </w:r>
          </w:p>
        </w:tc>
        <w:tc>
          <w:tcPr>
            <w:tcW w:w="2895" w:type="dxa"/>
            <w:gridSpan w:val="2"/>
            <w:tcBorders>
              <w:top w:val="nil"/>
              <w:left w:val="nil"/>
              <w:bottom w:val="single" w:color="auto" w:sz="4" w:space="0"/>
              <w:right w:val="single" w:color="auto" w:sz="4" w:space="0"/>
            </w:tcBorders>
            <w:shd w:val="clear" w:color="auto" w:fill="auto"/>
            <w:vAlign w:val="center"/>
          </w:tcPr>
          <w:p w14:paraId="64971D94">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本级支出</w:t>
            </w:r>
          </w:p>
        </w:tc>
        <w:tc>
          <w:tcPr>
            <w:tcW w:w="1653" w:type="dxa"/>
            <w:tcBorders>
              <w:top w:val="nil"/>
              <w:left w:val="nil"/>
              <w:bottom w:val="single" w:color="auto" w:sz="4" w:space="0"/>
              <w:right w:val="single" w:color="auto" w:sz="4" w:space="0"/>
            </w:tcBorders>
            <w:shd w:val="clear" w:color="auto" w:fill="auto"/>
            <w:vAlign w:val="center"/>
          </w:tcPr>
          <w:p w14:paraId="0DFA1146">
            <w:pPr>
              <w:keepNext w:val="0"/>
              <w:keepLines w:val="0"/>
              <w:widowControl/>
              <w:suppressLineNumbers w:val="0"/>
              <w:jc w:val="center"/>
              <w:textAlignment w:val="center"/>
              <w:rPr>
                <w:rFonts w:hint="default"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459198</w:t>
            </w:r>
          </w:p>
        </w:tc>
      </w:tr>
      <w:tr w14:paraId="31B583AC">
        <w:tblPrEx>
          <w:tblCellMar>
            <w:top w:w="0" w:type="dxa"/>
            <w:left w:w="108" w:type="dxa"/>
            <w:bottom w:w="0" w:type="dxa"/>
            <w:right w:w="108" w:type="dxa"/>
          </w:tblCellMar>
        </w:tblPrEx>
        <w:trPr>
          <w:trHeight w:val="606" w:hRule="atLeast"/>
          <w:jc w:val="center"/>
        </w:trPr>
        <w:tc>
          <w:tcPr>
            <w:tcW w:w="3159" w:type="dxa"/>
            <w:gridSpan w:val="2"/>
            <w:tcBorders>
              <w:top w:val="nil"/>
              <w:left w:val="single" w:color="auto" w:sz="4" w:space="0"/>
              <w:bottom w:val="single" w:color="auto" w:sz="4" w:space="0"/>
              <w:right w:val="single" w:color="auto" w:sz="4" w:space="0"/>
            </w:tcBorders>
            <w:shd w:val="clear" w:color="auto" w:fill="auto"/>
            <w:vAlign w:val="center"/>
          </w:tcPr>
          <w:p w14:paraId="7E0CC970">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上级补助收入</w:t>
            </w:r>
          </w:p>
        </w:tc>
        <w:tc>
          <w:tcPr>
            <w:tcW w:w="1383" w:type="dxa"/>
            <w:tcBorders>
              <w:top w:val="nil"/>
              <w:left w:val="nil"/>
              <w:bottom w:val="single" w:color="auto" w:sz="4" w:space="0"/>
              <w:right w:val="single" w:color="auto" w:sz="4" w:space="0"/>
            </w:tcBorders>
            <w:shd w:val="clear" w:color="auto" w:fill="auto"/>
            <w:vAlign w:val="center"/>
          </w:tcPr>
          <w:p w14:paraId="497228CE">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307009</w:t>
            </w:r>
          </w:p>
        </w:tc>
        <w:tc>
          <w:tcPr>
            <w:tcW w:w="2895" w:type="dxa"/>
            <w:gridSpan w:val="2"/>
            <w:tcBorders>
              <w:top w:val="nil"/>
              <w:left w:val="nil"/>
              <w:bottom w:val="single" w:color="auto" w:sz="4" w:space="0"/>
              <w:right w:val="single" w:color="auto" w:sz="4" w:space="0"/>
            </w:tcBorders>
            <w:shd w:val="clear" w:color="auto" w:fill="auto"/>
            <w:vAlign w:val="center"/>
          </w:tcPr>
          <w:p w14:paraId="0384ACCE">
            <w:pPr>
              <w:widowControl/>
              <w:jc w:val="left"/>
              <w:rPr>
                <w:rFonts w:hint="eastAsia" w:ascii="宋体" w:hAnsi="宋体" w:eastAsia="宋体" w:cs="宋体"/>
                <w:kern w:val="0"/>
                <w:sz w:val="24"/>
                <w:szCs w:val="24"/>
              </w:rPr>
            </w:pPr>
          </w:p>
        </w:tc>
        <w:tc>
          <w:tcPr>
            <w:tcW w:w="1653" w:type="dxa"/>
            <w:tcBorders>
              <w:top w:val="nil"/>
              <w:left w:val="nil"/>
              <w:bottom w:val="single" w:color="auto" w:sz="4" w:space="0"/>
              <w:right w:val="single" w:color="auto" w:sz="4" w:space="0"/>
            </w:tcBorders>
            <w:shd w:val="clear" w:color="auto" w:fill="auto"/>
            <w:vAlign w:val="center"/>
          </w:tcPr>
          <w:p w14:paraId="072B1BE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785A5472">
        <w:tblPrEx>
          <w:tblCellMar>
            <w:top w:w="0" w:type="dxa"/>
            <w:left w:w="108" w:type="dxa"/>
            <w:bottom w:w="0" w:type="dxa"/>
            <w:right w:w="108" w:type="dxa"/>
          </w:tblCellMar>
        </w:tblPrEx>
        <w:trPr>
          <w:trHeight w:val="615" w:hRule="atLeast"/>
          <w:jc w:val="center"/>
        </w:trPr>
        <w:tc>
          <w:tcPr>
            <w:tcW w:w="3159" w:type="dxa"/>
            <w:gridSpan w:val="2"/>
            <w:tcBorders>
              <w:top w:val="nil"/>
              <w:left w:val="single" w:color="auto" w:sz="4" w:space="0"/>
              <w:bottom w:val="single" w:color="auto" w:sz="4" w:space="0"/>
              <w:right w:val="single" w:color="auto" w:sz="4" w:space="0"/>
            </w:tcBorders>
            <w:shd w:val="clear" w:color="auto" w:fill="auto"/>
            <w:vAlign w:val="center"/>
          </w:tcPr>
          <w:p w14:paraId="39EFD1C2">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返还性收入</w:t>
            </w:r>
          </w:p>
        </w:tc>
        <w:tc>
          <w:tcPr>
            <w:tcW w:w="1383" w:type="dxa"/>
            <w:tcBorders>
              <w:top w:val="nil"/>
              <w:left w:val="nil"/>
              <w:bottom w:val="single" w:color="auto" w:sz="4" w:space="0"/>
              <w:right w:val="single" w:color="auto" w:sz="4" w:space="0"/>
            </w:tcBorders>
            <w:shd w:val="clear" w:color="auto" w:fill="auto"/>
            <w:vAlign w:val="center"/>
          </w:tcPr>
          <w:p w14:paraId="10519D3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5910</w:t>
            </w:r>
          </w:p>
        </w:tc>
        <w:tc>
          <w:tcPr>
            <w:tcW w:w="2895" w:type="dxa"/>
            <w:gridSpan w:val="2"/>
            <w:tcBorders>
              <w:top w:val="nil"/>
              <w:left w:val="nil"/>
              <w:bottom w:val="single" w:color="auto" w:sz="4" w:space="0"/>
              <w:right w:val="single" w:color="auto" w:sz="4" w:space="0"/>
            </w:tcBorders>
            <w:shd w:val="clear" w:color="auto" w:fill="auto"/>
            <w:vAlign w:val="center"/>
          </w:tcPr>
          <w:p w14:paraId="67AF765F">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上解上级支出</w:t>
            </w:r>
          </w:p>
        </w:tc>
        <w:tc>
          <w:tcPr>
            <w:tcW w:w="1653" w:type="dxa"/>
            <w:tcBorders>
              <w:top w:val="nil"/>
              <w:left w:val="nil"/>
              <w:bottom w:val="single" w:color="auto" w:sz="4" w:space="0"/>
              <w:right w:val="single" w:color="auto" w:sz="4" w:space="0"/>
            </w:tcBorders>
            <w:shd w:val="clear" w:color="auto" w:fill="auto"/>
            <w:vAlign w:val="center"/>
          </w:tcPr>
          <w:p w14:paraId="09596756">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40031</w:t>
            </w:r>
          </w:p>
        </w:tc>
      </w:tr>
      <w:tr w14:paraId="61AF2945">
        <w:tblPrEx>
          <w:tblCellMar>
            <w:top w:w="0" w:type="dxa"/>
            <w:left w:w="108" w:type="dxa"/>
            <w:bottom w:w="0" w:type="dxa"/>
            <w:right w:w="108" w:type="dxa"/>
          </w:tblCellMar>
        </w:tblPrEx>
        <w:trPr>
          <w:trHeight w:val="615" w:hRule="atLeast"/>
          <w:jc w:val="center"/>
        </w:trPr>
        <w:tc>
          <w:tcPr>
            <w:tcW w:w="3159" w:type="dxa"/>
            <w:gridSpan w:val="2"/>
            <w:tcBorders>
              <w:top w:val="nil"/>
              <w:left w:val="single" w:color="auto" w:sz="4" w:space="0"/>
              <w:bottom w:val="single" w:color="auto" w:sz="4" w:space="0"/>
              <w:right w:val="single" w:color="auto" w:sz="4" w:space="0"/>
            </w:tcBorders>
            <w:shd w:val="clear" w:color="auto" w:fill="auto"/>
            <w:vAlign w:val="center"/>
          </w:tcPr>
          <w:p w14:paraId="20520882">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一般性转移支付收入</w:t>
            </w:r>
          </w:p>
        </w:tc>
        <w:tc>
          <w:tcPr>
            <w:tcW w:w="1383" w:type="dxa"/>
            <w:tcBorders>
              <w:top w:val="nil"/>
              <w:left w:val="nil"/>
              <w:bottom w:val="single" w:color="auto" w:sz="4" w:space="0"/>
              <w:right w:val="single" w:color="auto" w:sz="4" w:space="0"/>
            </w:tcBorders>
            <w:shd w:val="clear" w:color="auto" w:fill="auto"/>
            <w:vAlign w:val="center"/>
          </w:tcPr>
          <w:p w14:paraId="6D9C1277">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278699</w:t>
            </w:r>
          </w:p>
        </w:tc>
        <w:tc>
          <w:tcPr>
            <w:tcW w:w="2895" w:type="dxa"/>
            <w:gridSpan w:val="2"/>
            <w:tcBorders>
              <w:top w:val="nil"/>
              <w:left w:val="nil"/>
              <w:bottom w:val="single" w:color="auto" w:sz="4" w:space="0"/>
              <w:right w:val="single" w:color="auto" w:sz="4" w:space="0"/>
            </w:tcBorders>
            <w:shd w:val="clear" w:color="auto" w:fill="auto"/>
            <w:vAlign w:val="center"/>
          </w:tcPr>
          <w:p w14:paraId="030F32BE">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地方政府一般债务还本支出（含再融资）</w:t>
            </w:r>
          </w:p>
        </w:tc>
        <w:tc>
          <w:tcPr>
            <w:tcW w:w="1653" w:type="dxa"/>
            <w:tcBorders>
              <w:top w:val="nil"/>
              <w:left w:val="nil"/>
              <w:bottom w:val="single" w:color="auto" w:sz="4" w:space="0"/>
              <w:right w:val="single" w:color="auto" w:sz="4" w:space="0"/>
            </w:tcBorders>
            <w:shd w:val="clear" w:color="auto" w:fill="auto"/>
            <w:vAlign w:val="center"/>
          </w:tcPr>
          <w:p w14:paraId="5E07946C">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31751</w:t>
            </w:r>
          </w:p>
        </w:tc>
      </w:tr>
      <w:tr w14:paraId="5C344391">
        <w:tblPrEx>
          <w:tblCellMar>
            <w:top w:w="0" w:type="dxa"/>
            <w:left w:w="108" w:type="dxa"/>
            <w:bottom w:w="0" w:type="dxa"/>
            <w:right w:w="108" w:type="dxa"/>
          </w:tblCellMar>
        </w:tblPrEx>
        <w:trPr>
          <w:trHeight w:val="615" w:hRule="atLeast"/>
          <w:jc w:val="center"/>
        </w:trPr>
        <w:tc>
          <w:tcPr>
            <w:tcW w:w="3159" w:type="dxa"/>
            <w:gridSpan w:val="2"/>
            <w:tcBorders>
              <w:top w:val="nil"/>
              <w:left w:val="single" w:color="auto" w:sz="4" w:space="0"/>
              <w:bottom w:val="single" w:color="auto" w:sz="4" w:space="0"/>
              <w:right w:val="single" w:color="auto" w:sz="4" w:space="0"/>
            </w:tcBorders>
            <w:shd w:val="clear" w:color="auto" w:fill="auto"/>
            <w:vAlign w:val="center"/>
          </w:tcPr>
          <w:p w14:paraId="40730E3B">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专项转移支付收入</w:t>
            </w:r>
          </w:p>
        </w:tc>
        <w:tc>
          <w:tcPr>
            <w:tcW w:w="1383" w:type="dxa"/>
            <w:tcBorders>
              <w:top w:val="nil"/>
              <w:left w:val="nil"/>
              <w:bottom w:val="single" w:color="auto" w:sz="4" w:space="0"/>
              <w:right w:val="single" w:color="auto" w:sz="4" w:space="0"/>
            </w:tcBorders>
            <w:shd w:val="clear" w:color="auto" w:fill="auto"/>
            <w:vAlign w:val="center"/>
          </w:tcPr>
          <w:p w14:paraId="663708DB">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22400</w:t>
            </w:r>
          </w:p>
        </w:tc>
        <w:tc>
          <w:tcPr>
            <w:tcW w:w="2895" w:type="dxa"/>
            <w:gridSpan w:val="2"/>
            <w:tcBorders>
              <w:top w:val="nil"/>
              <w:left w:val="nil"/>
              <w:bottom w:val="single" w:color="auto" w:sz="4" w:space="0"/>
              <w:right w:val="single" w:color="auto" w:sz="4" w:space="0"/>
            </w:tcBorders>
            <w:shd w:val="clear" w:color="auto" w:fill="auto"/>
            <w:vAlign w:val="center"/>
          </w:tcPr>
          <w:p w14:paraId="1D2AE180">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结转结余</w:t>
            </w:r>
          </w:p>
        </w:tc>
        <w:tc>
          <w:tcPr>
            <w:tcW w:w="1653" w:type="dxa"/>
            <w:tcBorders>
              <w:top w:val="nil"/>
              <w:left w:val="nil"/>
              <w:bottom w:val="single" w:color="auto" w:sz="4" w:space="0"/>
              <w:right w:val="single" w:color="auto" w:sz="4" w:space="0"/>
            </w:tcBorders>
            <w:shd w:val="clear" w:color="auto" w:fill="auto"/>
            <w:vAlign w:val="center"/>
          </w:tcPr>
          <w:p w14:paraId="6C6C4718">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506</w:t>
            </w:r>
          </w:p>
        </w:tc>
      </w:tr>
      <w:tr w14:paraId="6FC4CD01">
        <w:tblPrEx>
          <w:tblCellMar>
            <w:top w:w="0" w:type="dxa"/>
            <w:left w:w="108" w:type="dxa"/>
            <w:bottom w:w="0" w:type="dxa"/>
            <w:right w:w="108" w:type="dxa"/>
          </w:tblCellMar>
        </w:tblPrEx>
        <w:trPr>
          <w:trHeight w:val="615" w:hRule="atLeast"/>
          <w:jc w:val="center"/>
        </w:trPr>
        <w:tc>
          <w:tcPr>
            <w:tcW w:w="3159" w:type="dxa"/>
            <w:gridSpan w:val="2"/>
            <w:tcBorders>
              <w:top w:val="nil"/>
              <w:left w:val="single" w:color="auto" w:sz="4" w:space="0"/>
              <w:bottom w:val="single" w:color="auto" w:sz="4" w:space="0"/>
              <w:right w:val="single" w:color="auto" w:sz="4" w:space="0"/>
            </w:tcBorders>
            <w:shd w:val="clear" w:color="auto" w:fill="auto"/>
            <w:vAlign w:val="center"/>
          </w:tcPr>
          <w:p w14:paraId="134C36D2">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上年结余收入</w:t>
            </w:r>
          </w:p>
        </w:tc>
        <w:tc>
          <w:tcPr>
            <w:tcW w:w="1383" w:type="dxa"/>
            <w:tcBorders>
              <w:top w:val="nil"/>
              <w:left w:val="nil"/>
              <w:bottom w:val="single" w:color="auto" w:sz="4" w:space="0"/>
              <w:right w:val="single" w:color="auto" w:sz="4" w:space="0"/>
            </w:tcBorders>
            <w:shd w:val="clear" w:color="auto" w:fill="auto"/>
            <w:vAlign w:val="center"/>
          </w:tcPr>
          <w:p w14:paraId="467CFB50">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w:t>
            </w:r>
          </w:p>
        </w:tc>
        <w:tc>
          <w:tcPr>
            <w:tcW w:w="2895" w:type="dxa"/>
            <w:gridSpan w:val="2"/>
            <w:tcBorders>
              <w:top w:val="nil"/>
              <w:left w:val="nil"/>
              <w:bottom w:val="single" w:color="auto" w:sz="4" w:space="0"/>
              <w:right w:val="single" w:color="auto" w:sz="4" w:space="0"/>
            </w:tcBorders>
            <w:shd w:val="clear" w:color="auto" w:fill="auto"/>
            <w:vAlign w:val="center"/>
          </w:tcPr>
          <w:p w14:paraId="06F133D4">
            <w:pPr>
              <w:widowControl/>
              <w:jc w:val="left"/>
              <w:rPr>
                <w:rFonts w:hint="eastAsia" w:ascii="宋体" w:hAnsi="宋体" w:eastAsia="宋体" w:cs="宋体"/>
                <w:kern w:val="0"/>
                <w:sz w:val="24"/>
                <w:szCs w:val="24"/>
              </w:rPr>
            </w:pPr>
          </w:p>
        </w:tc>
        <w:tc>
          <w:tcPr>
            <w:tcW w:w="1653" w:type="dxa"/>
            <w:tcBorders>
              <w:top w:val="nil"/>
              <w:left w:val="nil"/>
              <w:bottom w:val="single" w:color="auto" w:sz="4" w:space="0"/>
              <w:right w:val="single" w:color="auto" w:sz="4" w:space="0"/>
            </w:tcBorders>
            <w:shd w:val="clear" w:color="auto" w:fill="auto"/>
            <w:vAlign w:val="center"/>
          </w:tcPr>
          <w:p w14:paraId="6BBCA3E8">
            <w:pPr>
              <w:widowControl/>
              <w:jc w:val="center"/>
              <w:rPr>
                <w:rFonts w:hint="eastAsia" w:ascii="宋体" w:hAnsi="宋体" w:eastAsia="宋体" w:cs="宋体"/>
                <w:kern w:val="0"/>
                <w:sz w:val="24"/>
                <w:szCs w:val="24"/>
              </w:rPr>
            </w:pPr>
          </w:p>
        </w:tc>
      </w:tr>
      <w:tr w14:paraId="2E295C76">
        <w:tblPrEx>
          <w:tblCellMar>
            <w:top w:w="0" w:type="dxa"/>
            <w:left w:w="108" w:type="dxa"/>
            <w:bottom w:w="0" w:type="dxa"/>
            <w:right w:w="108" w:type="dxa"/>
          </w:tblCellMar>
        </w:tblPrEx>
        <w:trPr>
          <w:trHeight w:val="615" w:hRule="atLeast"/>
          <w:jc w:val="center"/>
        </w:trPr>
        <w:tc>
          <w:tcPr>
            <w:tcW w:w="3159" w:type="dxa"/>
            <w:gridSpan w:val="2"/>
            <w:tcBorders>
              <w:top w:val="nil"/>
              <w:left w:val="single" w:color="auto" w:sz="4" w:space="0"/>
              <w:bottom w:val="single" w:color="auto" w:sz="4" w:space="0"/>
              <w:right w:val="single" w:color="auto" w:sz="4" w:space="0"/>
            </w:tcBorders>
            <w:shd w:val="clear" w:color="auto" w:fill="auto"/>
            <w:vAlign w:val="center"/>
          </w:tcPr>
          <w:p w14:paraId="29FFE5EE">
            <w:pPr>
              <w:widowControl/>
              <w:jc w:val="left"/>
              <w:rPr>
                <w:rFonts w:hint="eastAsia" w:ascii="宋体" w:hAnsi="宋体" w:eastAsia="宋体" w:cs="宋体"/>
                <w:kern w:val="0"/>
                <w:sz w:val="24"/>
                <w:szCs w:val="24"/>
              </w:rPr>
            </w:pPr>
          </w:p>
        </w:tc>
        <w:tc>
          <w:tcPr>
            <w:tcW w:w="1383" w:type="dxa"/>
            <w:tcBorders>
              <w:top w:val="nil"/>
              <w:left w:val="nil"/>
              <w:bottom w:val="single" w:color="auto" w:sz="4" w:space="0"/>
              <w:right w:val="single" w:color="auto" w:sz="4" w:space="0"/>
            </w:tcBorders>
            <w:shd w:val="clear" w:color="auto" w:fill="auto"/>
            <w:vAlign w:val="center"/>
          </w:tcPr>
          <w:p w14:paraId="3FEDA905">
            <w:pPr>
              <w:widowControl/>
              <w:jc w:val="center"/>
              <w:rPr>
                <w:rFonts w:hint="default" w:ascii="宋体" w:hAnsi="宋体" w:eastAsia="宋体" w:cs="宋体"/>
                <w:kern w:val="0"/>
                <w:sz w:val="24"/>
                <w:szCs w:val="24"/>
                <w:lang w:val="en-US" w:eastAsia="zh-CN"/>
              </w:rPr>
            </w:pPr>
          </w:p>
        </w:tc>
        <w:tc>
          <w:tcPr>
            <w:tcW w:w="2895" w:type="dxa"/>
            <w:gridSpan w:val="2"/>
            <w:tcBorders>
              <w:top w:val="nil"/>
              <w:left w:val="nil"/>
              <w:bottom w:val="single" w:color="auto" w:sz="4" w:space="0"/>
              <w:right w:val="single" w:color="auto" w:sz="4" w:space="0"/>
            </w:tcBorders>
            <w:shd w:val="clear" w:color="auto" w:fill="auto"/>
            <w:vAlign w:val="center"/>
          </w:tcPr>
          <w:p w14:paraId="36268586">
            <w:pPr>
              <w:widowControl/>
              <w:jc w:val="left"/>
              <w:rPr>
                <w:rFonts w:hint="eastAsia" w:ascii="宋体" w:hAnsi="宋体" w:eastAsia="宋体" w:cs="宋体"/>
                <w:kern w:val="0"/>
                <w:sz w:val="24"/>
                <w:szCs w:val="24"/>
              </w:rPr>
            </w:pPr>
          </w:p>
        </w:tc>
        <w:tc>
          <w:tcPr>
            <w:tcW w:w="1653" w:type="dxa"/>
            <w:tcBorders>
              <w:top w:val="nil"/>
              <w:left w:val="nil"/>
              <w:bottom w:val="single" w:color="auto" w:sz="4" w:space="0"/>
              <w:right w:val="single" w:color="auto" w:sz="4" w:space="0"/>
            </w:tcBorders>
            <w:shd w:val="clear" w:color="auto" w:fill="auto"/>
            <w:vAlign w:val="center"/>
          </w:tcPr>
          <w:p w14:paraId="545DDB6F">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3844FB95">
        <w:tblPrEx>
          <w:tblCellMar>
            <w:top w:w="0" w:type="dxa"/>
            <w:left w:w="108" w:type="dxa"/>
            <w:bottom w:w="0" w:type="dxa"/>
            <w:right w:w="108" w:type="dxa"/>
          </w:tblCellMar>
        </w:tblPrEx>
        <w:trPr>
          <w:trHeight w:val="615" w:hRule="atLeast"/>
          <w:jc w:val="center"/>
        </w:trPr>
        <w:tc>
          <w:tcPr>
            <w:tcW w:w="3159" w:type="dxa"/>
            <w:gridSpan w:val="2"/>
            <w:tcBorders>
              <w:top w:val="nil"/>
              <w:left w:val="single" w:color="auto" w:sz="4" w:space="0"/>
              <w:bottom w:val="single" w:color="auto" w:sz="4" w:space="0"/>
              <w:right w:val="single" w:color="auto" w:sz="4" w:space="0"/>
            </w:tcBorders>
            <w:shd w:val="clear" w:color="auto" w:fill="auto"/>
            <w:vAlign w:val="center"/>
          </w:tcPr>
          <w:p w14:paraId="1ABF09B7">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地方政府一般债务转贷收入</w:t>
            </w:r>
          </w:p>
        </w:tc>
        <w:tc>
          <w:tcPr>
            <w:tcW w:w="1383" w:type="dxa"/>
            <w:tcBorders>
              <w:top w:val="nil"/>
              <w:left w:val="nil"/>
              <w:bottom w:val="single" w:color="auto" w:sz="4" w:space="0"/>
              <w:right w:val="single" w:color="auto" w:sz="4" w:space="0"/>
            </w:tcBorders>
            <w:shd w:val="clear" w:color="auto" w:fill="auto"/>
            <w:vAlign w:val="center"/>
          </w:tcPr>
          <w:p w14:paraId="5E4008ED">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28600</w:t>
            </w:r>
          </w:p>
        </w:tc>
        <w:tc>
          <w:tcPr>
            <w:tcW w:w="2895" w:type="dxa"/>
            <w:gridSpan w:val="2"/>
            <w:tcBorders>
              <w:top w:val="nil"/>
              <w:left w:val="nil"/>
              <w:bottom w:val="single" w:color="auto" w:sz="4" w:space="0"/>
              <w:right w:val="single" w:color="auto" w:sz="4" w:space="0"/>
            </w:tcBorders>
            <w:shd w:val="clear" w:color="auto" w:fill="auto"/>
            <w:vAlign w:val="center"/>
          </w:tcPr>
          <w:p w14:paraId="0EC358E1">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安排预算稳定调节基金</w:t>
            </w:r>
          </w:p>
        </w:tc>
        <w:tc>
          <w:tcPr>
            <w:tcW w:w="1653" w:type="dxa"/>
            <w:tcBorders>
              <w:top w:val="nil"/>
              <w:left w:val="nil"/>
              <w:bottom w:val="single" w:color="auto" w:sz="4" w:space="0"/>
              <w:right w:val="single" w:color="auto" w:sz="4" w:space="0"/>
            </w:tcBorders>
            <w:shd w:val="clear" w:color="auto" w:fill="auto"/>
            <w:vAlign w:val="center"/>
          </w:tcPr>
          <w:p w14:paraId="00A6DEF0">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3585</w:t>
            </w:r>
          </w:p>
        </w:tc>
      </w:tr>
      <w:tr w14:paraId="63DAE9DE">
        <w:tblPrEx>
          <w:tblCellMar>
            <w:top w:w="0" w:type="dxa"/>
            <w:left w:w="108" w:type="dxa"/>
            <w:bottom w:w="0" w:type="dxa"/>
            <w:right w:w="108" w:type="dxa"/>
          </w:tblCellMar>
        </w:tblPrEx>
        <w:trPr>
          <w:trHeight w:val="615" w:hRule="atLeast"/>
          <w:jc w:val="center"/>
        </w:trPr>
        <w:tc>
          <w:tcPr>
            <w:tcW w:w="3159" w:type="dxa"/>
            <w:gridSpan w:val="2"/>
            <w:tcBorders>
              <w:top w:val="nil"/>
              <w:left w:val="single" w:color="auto" w:sz="4" w:space="0"/>
              <w:bottom w:val="single" w:color="auto" w:sz="4" w:space="0"/>
              <w:right w:val="single" w:color="auto" w:sz="4" w:space="0"/>
            </w:tcBorders>
            <w:shd w:val="clear" w:color="auto" w:fill="auto"/>
            <w:vAlign w:val="center"/>
          </w:tcPr>
          <w:p w14:paraId="7141C9A2">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调入资金</w:t>
            </w:r>
          </w:p>
        </w:tc>
        <w:tc>
          <w:tcPr>
            <w:tcW w:w="1383" w:type="dxa"/>
            <w:tcBorders>
              <w:top w:val="nil"/>
              <w:left w:val="nil"/>
              <w:bottom w:val="single" w:color="auto" w:sz="4" w:space="0"/>
              <w:right w:val="single" w:color="auto" w:sz="4" w:space="0"/>
            </w:tcBorders>
            <w:shd w:val="clear" w:color="auto" w:fill="auto"/>
            <w:vAlign w:val="center"/>
          </w:tcPr>
          <w:p w14:paraId="6311D618">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27945</w:t>
            </w:r>
          </w:p>
        </w:tc>
        <w:tc>
          <w:tcPr>
            <w:tcW w:w="2895" w:type="dxa"/>
            <w:gridSpan w:val="2"/>
            <w:tcBorders>
              <w:top w:val="nil"/>
              <w:left w:val="nil"/>
              <w:bottom w:val="single" w:color="auto" w:sz="4" w:space="0"/>
              <w:right w:val="single" w:color="auto" w:sz="4" w:space="0"/>
            </w:tcBorders>
            <w:shd w:val="clear" w:color="auto" w:fill="auto"/>
            <w:vAlign w:val="center"/>
          </w:tcPr>
          <w:p w14:paraId="33BD3F9F">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调出资金</w:t>
            </w:r>
          </w:p>
        </w:tc>
        <w:tc>
          <w:tcPr>
            <w:tcW w:w="1653" w:type="dxa"/>
            <w:tcBorders>
              <w:top w:val="nil"/>
              <w:left w:val="nil"/>
              <w:bottom w:val="single" w:color="auto" w:sz="4" w:space="0"/>
              <w:right w:val="single" w:color="auto" w:sz="4" w:space="0"/>
            </w:tcBorders>
            <w:shd w:val="clear" w:color="auto" w:fill="auto"/>
            <w:vAlign w:val="center"/>
          </w:tcPr>
          <w:p w14:paraId="7E2AE894">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0D82EE95">
        <w:tblPrEx>
          <w:tblCellMar>
            <w:top w:w="0" w:type="dxa"/>
            <w:left w:w="108" w:type="dxa"/>
            <w:bottom w:w="0" w:type="dxa"/>
            <w:right w:w="108" w:type="dxa"/>
          </w:tblCellMar>
        </w:tblPrEx>
        <w:trPr>
          <w:trHeight w:val="615" w:hRule="atLeast"/>
          <w:jc w:val="center"/>
        </w:trPr>
        <w:tc>
          <w:tcPr>
            <w:tcW w:w="3159" w:type="dxa"/>
            <w:gridSpan w:val="2"/>
            <w:tcBorders>
              <w:top w:val="nil"/>
              <w:left w:val="single" w:color="auto" w:sz="4" w:space="0"/>
              <w:bottom w:val="single" w:color="auto" w:sz="4" w:space="0"/>
              <w:right w:val="single" w:color="auto" w:sz="4" w:space="0"/>
            </w:tcBorders>
            <w:shd w:val="clear" w:color="auto" w:fill="auto"/>
            <w:vAlign w:val="center"/>
          </w:tcPr>
          <w:p w14:paraId="01128580">
            <w:pPr>
              <w:widowControl/>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动用</w:t>
            </w:r>
            <w:r>
              <w:rPr>
                <w:rFonts w:hint="eastAsia" w:ascii="宋体" w:hAnsi="宋体" w:eastAsia="宋体" w:cs="宋体"/>
                <w:kern w:val="0"/>
                <w:sz w:val="24"/>
                <w:szCs w:val="24"/>
              </w:rPr>
              <w:t>预算稳定调节基金　</w:t>
            </w:r>
          </w:p>
        </w:tc>
        <w:tc>
          <w:tcPr>
            <w:tcW w:w="1383" w:type="dxa"/>
            <w:tcBorders>
              <w:top w:val="nil"/>
              <w:left w:val="nil"/>
              <w:bottom w:val="single" w:color="auto" w:sz="4" w:space="0"/>
              <w:right w:val="single" w:color="auto" w:sz="4" w:space="0"/>
            </w:tcBorders>
            <w:shd w:val="clear" w:color="auto" w:fill="auto"/>
            <w:vAlign w:val="center"/>
          </w:tcPr>
          <w:p w14:paraId="62E1D36C">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1921</w:t>
            </w:r>
          </w:p>
        </w:tc>
        <w:tc>
          <w:tcPr>
            <w:tcW w:w="2895" w:type="dxa"/>
            <w:gridSpan w:val="2"/>
            <w:tcBorders>
              <w:top w:val="nil"/>
              <w:left w:val="nil"/>
              <w:bottom w:val="single" w:color="auto" w:sz="4" w:space="0"/>
              <w:right w:val="single" w:color="auto" w:sz="4" w:space="0"/>
            </w:tcBorders>
            <w:shd w:val="clear" w:color="auto" w:fill="auto"/>
            <w:vAlign w:val="center"/>
          </w:tcPr>
          <w:p w14:paraId="40A60A61">
            <w:pPr>
              <w:widowControl/>
              <w:jc w:val="left"/>
              <w:rPr>
                <w:rFonts w:hint="default" w:ascii="宋体" w:hAnsi="宋体" w:eastAsia="宋体" w:cs="宋体"/>
                <w:kern w:val="0"/>
                <w:sz w:val="24"/>
                <w:szCs w:val="24"/>
                <w:lang w:val="en-US" w:eastAsia="zh-CN"/>
              </w:rPr>
            </w:pPr>
          </w:p>
        </w:tc>
        <w:tc>
          <w:tcPr>
            <w:tcW w:w="1653" w:type="dxa"/>
            <w:tcBorders>
              <w:top w:val="nil"/>
              <w:left w:val="nil"/>
              <w:bottom w:val="single" w:color="auto" w:sz="4" w:space="0"/>
              <w:right w:val="single" w:color="auto" w:sz="4" w:space="0"/>
            </w:tcBorders>
            <w:shd w:val="clear" w:color="auto" w:fill="auto"/>
            <w:vAlign w:val="center"/>
          </w:tcPr>
          <w:p w14:paraId="73F37713">
            <w:pPr>
              <w:widowControl/>
              <w:jc w:val="center"/>
              <w:rPr>
                <w:rFonts w:hint="eastAsia" w:ascii="宋体" w:hAnsi="宋体" w:eastAsia="宋体" w:cs="宋体"/>
                <w:kern w:val="0"/>
                <w:sz w:val="24"/>
                <w:szCs w:val="24"/>
              </w:rPr>
            </w:pPr>
          </w:p>
        </w:tc>
      </w:tr>
      <w:tr w14:paraId="4D20D43B">
        <w:tblPrEx>
          <w:tblCellMar>
            <w:top w:w="0" w:type="dxa"/>
            <w:left w:w="108" w:type="dxa"/>
            <w:bottom w:w="0" w:type="dxa"/>
            <w:right w:w="108" w:type="dxa"/>
          </w:tblCellMar>
        </w:tblPrEx>
        <w:trPr>
          <w:trHeight w:val="615" w:hRule="atLeast"/>
          <w:jc w:val="center"/>
        </w:trPr>
        <w:tc>
          <w:tcPr>
            <w:tcW w:w="3159" w:type="dxa"/>
            <w:gridSpan w:val="2"/>
            <w:tcBorders>
              <w:top w:val="nil"/>
              <w:left w:val="single" w:color="auto" w:sz="4" w:space="0"/>
              <w:bottom w:val="single" w:color="auto" w:sz="4" w:space="0"/>
              <w:right w:val="single" w:color="auto" w:sz="4" w:space="0"/>
            </w:tcBorders>
            <w:shd w:val="clear" w:color="auto" w:fill="auto"/>
            <w:vAlign w:val="center"/>
          </w:tcPr>
          <w:p w14:paraId="74A8131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收入总计</w:t>
            </w:r>
          </w:p>
        </w:tc>
        <w:tc>
          <w:tcPr>
            <w:tcW w:w="1383" w:type="dxa"/>
            <w:tcBorders>
              <w:top w:val="nil"/>
              <w:left w:val="nil"/>
              <w:bottom w:val="single" w:color="auto" w:sz="4" w:space="0"/>
              <w:right w:val="single" w:color="auto" w:sz="4" w:space="0"/>
            </w:tcBorders>
            <w:shd w:val="clear" w:color="auto" w:fill="auto"/>
            <w:vAlign w:val="center"/>
          </w:tcPr>
          <w:p w14:paraId="7EA5BE81">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535071</w:t>
            </w:r>
          </w:p>
        </w:tc>
        <w:tc>
          <w:tcPr>
            <w:tcW w:w="2895" w:type="dxa"/>
            <w:gridSpan w:val="2"/>
            <w:tcBorders>
              <w:top w:val="nil"/>
              <w:left w:val="nil"/>
              <w:bottom w:val="single" w:color="auto" w:sz="4" w:space="0"/>
              <w:right w:val="single" w:color="auto" w:sz="4" w:space="0"/>
            </w:tcBorders>
            <w:shd w:val="clear" w:color="auto" w:fill="auto"/>
            <w:vAlign w:val="center"/>
          </w:tcPr>
          <w:p w14:paraId="2603704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支出总计</w:t>
            </w:r>
          </w:p>
        </w:tc>
        <w:tc>
          <w:tcPr>
            <w:tcW w:w="1653" w:type="dxa"/>
            <w:tcBorders>
              <w:top w:val="nil"/>
              <w:left w:val="nil"/>
              <w:bottom w:val="single" w:color="auto" w:sz="4" w:space="0"/>
              <w:right w:val="single" w:color="auto" w:sz="4" w:space="0"/>
            </w:tcBorders>
            <w:shd w:val="clear" w:color="auto" w:fill="auto"/>
            <w:vAlign w:val="center"/>
          </w:tcPr>
          <w:p w14:paraId="70ACB957">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535071</w:t>
            </w:r>
          </w:p>
        </w:tc>
      </w:tr>
    </w:tbl>
    <w:p w14:paraId="16490315">
      <w:pPr>
        <w:rPr>
          <w:rFonts w:hint="eastAsia"/>
        </w:rPr>
      </w:pPr>
      <w:r>
        <w:rPr>
          <w:rFonts w:hint="eastAsia"/>
          <w:sz w:val="24"/>
          <w:szCs w:val="24"/>
        </w:rPr>
        <w:br w:type="page"/>
      </w:r>
    </w:p>
    <w:p w14:paraId="48F77678">
      <w:pPr>
        <w:pStyle w:val="48"/>
        <w:keepNext w:val="0"/>
        <w:keepLines w:val="0"/>
        <w:pageBreakBefore w:val="0"/>
        <w:widowControl w:val="0"/>
        <w:kinsoku/>
        <w:wordWrap/>
        <w:overflowPunct/>
        <w:topLinePunct w:val="0"/>
        <w:autoSpaceDE/>
        <w:autoSpaceDN/>
        <w:bidi w:val="0"/>
        <w:adjustRightInd/>
        <w:snapToGrid/>
        <w:spacing w:before="0" w:after="0" w:line="572" w:lineRule="exact"/>
        <w:jc w:val="center"/>
        <w:textAlignment w:val="auto"/>
        <w:rPr>
          <w:rFonts w:hint="eastAsia"/>
          <w:sz w:val="44"/>
          <w:szCs w:val="44"/>
        </w:rPr>
      </w:pPr>
      <w:r>
        <w:rPr>
          <w:rFonts w:hint="eastAsia"/>
          <w:sz w:val="44"/>
          <w:szCs w:val="44"/>
        </w:rPr>
        <w:t>关于202</w:t>
      </w:r>
      <w:r>
        <w:rPr>
          <w:rFonts w:hint="eastAsia"/>
          <w:sz w:val="44"/>
          <w:szCs w:val="44"/>
          <w:lang w:val="en-US" w:eastAsia="zh-CN"/>
        </w:rPr>
        <w:t>5</w:t>
      </w:r>
      <w:r>
        <w:rPr>
          <w:rFonts w:hint="eastAsia"/>
          <w:sz w:val="44"/>
          <w:szCs w:val="44"/>
        </w:rPr>
        <w:t>年一般公共预算收支执行情况的</w:t>
      </w:r>
    </w:p>
    <w:p w14:paraId="4F6CA163">
      <w:pPr>
        <w:pStyle w:val="48"/>
        <w:keepNext w:val="0"/>
        <w:keepLines w:val="0"/>
        <w:pageBreakBefore w:val="0"/>
        <w:widowControl w:val="0"/>
        <w:kinsoku/>
        <w:wordWrap/>
        <w:overflowPunct/>
        <w:topLinePunct w:val="0"/>
        <w:autoSpaceDE/>
        <w:autoSpaceDN/>
        <w:bidi w:val="0"/>
        <w:adjustRightInd/>
        <w:snapToGrid/>
        <w:spacing w:before="0" w:after="0" w:line="572" w:lineRule="exact"/>
        <w:jc w:val="center"/>
        <w:textAlignment w:val="auto"/>
        <w:rPr>
          <w:sz w:val="44"/>
          <w:szCs w:val="44"/>
        </w:rPr>
      </w:pPr>
      <w:r>
        <w:rPr>
          <w:rFonts w:hint="eastAsia"/>
          <w:sz w:val="44"/>
          <w:szCs w:val="44"/>
        </w:rPr>
        <w:t>说明</w:t>
      </w:r>
    </w:p>
    <w:p w14:paraId="1F40C4F3">
      <w:pPr>
        <w:keepNext w:val="0"/>
        <w:keepLines w:val="0"/>
        <w:pageBreakBefore w:val="0"/>
        <w:widowControl w:val="0"/>
        <w:kinsoku/>
        <w:wordWrap/>
        <w:overflowPunct/>
        <w:topLinePunct w:val="0"/>
        <w:autoSpaceDE/>
        <w:autoSpaceDN/>
        <w:bidi w:val="0"/>
        <w:adjustRightInd/>
        <w:snapToGrid/>
        <w:spacing w:line="572" w:lineRule="exact"/>
        <w:ind w:firstLine="880" w:firstLineChars="200"/>
        <w:jc w:val="both"/>
        <w:textAlignment w:val="auto"/>
        <w:rPr>
          <w:rFonts w:ascii="黑体" w:eastAsia="黑体"/>
          <w:sz w:val="44"/>
          <w:szCs w:val="44"/>
        </w:rPr>
      </w:pPr>
    </w:p>
    <w:p w14:paraId="3CE7F7DF">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年，全县一般公共预算收入总计</w:t>
      </w:r>
      <w:r>
        <w:rPr>
          <w:rFonts w:hint="eastAsia" w:ascii="仿宋_GB2312" w:hAnsi="仿宋" w:eastAsia="仿宋_GB2312"/>
          <w:sz w:val="32"/>
          <w:szCs w:val="32"/>
          <w:lang w:val="en-US" w:eastAsia="zh-CN"/>
        </w:rPr>
        <w:t>535071</w:t>
      </w:r>
      <w:r>
        <w:rPr>
          <w:rFonts w:hint="eastAsia" w:ascii="仿宋_GB2312" w:hAnsi="仿宋" w:eastAsia="仿宋_GB2312"/>
          <w:sz w:val="32"/>
          <w:szCs w:val="32"/>
        </w:rPr>
        <w:t>万元，其中：一般公共预算收入</w:t>
      </w:r>
      <w:r>
        <w:rPr>
          <w:rFonts w:hint="eastAsia" w:ascii="仿宋_GB2312" w:hAnsi="仿宋" w:eastAsia="仿宋_GB2312"/>
          <w:color w:val="000000"/>
          <w:sz w:val="32"/>
          <w:szCs w:val="32"/>
          <w:lang w:val="en-US" w:eastAsia="zh-CN"/>
        </w:rPr>
        <w:t>169585</w:t>
      </w:r>
      <w:r>
        <w:rPr>
          <w:rFonts w:hint="eastAsia" w:ascii="仿宋_GB2312" w:hAnsi="仿宋" w:eastAsia="仿宋_GB2312"/>
          <w:sz w:val="32"/>
          <w:szCs w:val="32"/>
        </w:rPr>
        <w:t>万元，上级补助收入</w:t>
      </w:r>
      <w:r>
        <w:rPr>
          <w:rFonts w:hint="eastAsia" w:ascii="仿宋_GB2312" w:hAnsi="仿宋" w:eastAsia="仿宋_GB2312"/>
          <w:sz w:val="32"/>
          <w:szCs w:val="32"/>
          <w:lang w:val="en-US" w:eastAsia="zh-CN"/>
        </w:rPr>
        <w:t>307009</w:t>
      </w:r>
      <w:r>
        <w:rPr>
          <w:rFonts w:hint="eastAsia" w:ascii="仿宋_GB2312" w:hAnsi="仿宋" w:eastAsia="仿宋_GB2312"/>
          <w:sz w:val="32"/>
          <w:szCs w:val="32"/>
        </w:rPr>
        <w:t>万元</w:t>
      </w:r>
      <w:r>
        <w:rPr>
          <w:rFonts w:hint="eastAsia" w:ascii="仿宋_GB2312" w:hAnsi="仿宋" w:eastAsia="仿宋_GB2312"/>
          <w:color w:val="000000"/>
          <w:sz w:val="32"/>
          <w:szCs w:val="32"/>
        </w:rPr>
        <w:t>（返还性收入5910万元，一般性转移支付收入</w:t>
      </w:r>
      <w:r>
        <w:rPr>
          <w:rFonts w:hint="eastAsia" w:ascii="仿宋_GB2312" w:hAnsi="仿宋" w:eastAsia="仿宋_GB2312"/>
          <w:color w:val="000000"/>
          <w:sz w:val="32"/>
          <w:szCs w:val="32"/>
          <w:lang w:val="en-US" w:eastAsia="zh-CN"/>
        </w:rPr>
        <w:t>278699</w:t>
      </w:r>
      <w:r>
        <w:rPr>
          <w:rFonts w:hint="eastAsia" w:ascii="仿宋_GB2312" w:hAnsi="仿宋" w:eastAsia="仿宋_GB2312"/>
          <w:color w:val="000000"/>
          <w:sz w:val="32"/>
          <w:szCs w:val="32"/>
        </w:rPr>
        <w:t>万元，专项转移支付收入</w:t>
      </w:r>
      <w:r>
        <w:rPr>
          <w:rFonts w:hint="eastAsia" w:ascii="仿宋_GB2312" w:hAnsi="仿宋" w:eastAsia="仿宋_GB2312"/>
          <w:color w:val="000000"/>
          <w:sz w:val="32"/>
          <w:szCs w:val="32"/>
          <w:lang w:val="en-US" w:eastAsia="zh-CN"/>
        </w:rPr>
        <w:t>22400</w:t>
      </w:r>
      <w:r>
        <w:rPr>
          <w:rFonts w:hint="eastAsia" w:ascii="仿宋_GB2312" w:hAnsi="仿宋" w:eastAsia="仿宋_GB2312"/>
          <w:color w:val="000000"/>
          <w:sz w:val="32"/>
          <w:szCs w:val="32"/>
        </w:rPr>
        <w:t>万元），</w:t>
      </w:r>
      <w:r>
        <w:rPr>
          <w:rFonts w:hint="eastAsia" w:ascii="仿宋_GB2312" w:hAnsi="仿宋" w:eastAsia="仿宋_GB2312"/>
          <w:sz w:val="32"/>
          <w:szCs w:val="32"/>
        </w:rPr>
        <w:t>上年结余收入</w:t>
      </w:r>
      <w:r>
        <w:rPr>
          <w:rFonts w:hint="eastAsia" w:ascii="仿宋_GB2312" w:hAnsi="仿宋" w:eastAsia="仿宋_GB2312"/>
          <w:sz w:val="32"/>
          <w:szCs w:val="32"/>
          <w:lang w:val="en-US" w:eastAsia="zh-CN"/>
        </w:rPr>
        <w:t>11</w:t>
      </w:r>
      <w:r>
        <w:rPr>
          <w:rFonts w:hint="eastAsia" w:ascii="仿宋_GB2312" w:hAnsi="仿宋" w:eastAsia="仿宋_GB2312"/>
          <w:sz w:val="32"/>
          <w:szCs w:val="32"/>
        </w:rPr>
        <w:t>万元，地方政府一般债务转贷收入</w:t>
      </w:r>
      <w:r>
        <w:rPr>
          <w:rFonts w:hint="eastAsia" w:ascii="仿宋_GB2312" w:hAnsi="仿宋" w:eastAsia="仿宋_GB2312"/>
          <w:sz w:val="32"/>
          <w:szCs w:val="32"/>
          <w:lang w:val="en-US" w:eastAsia="zh-CN"/>
        </w:rPr>
        <w:t>28600</w:t>
      </w:r>
      <w:r>
        <w:rPr>
          <w:rFonts w:hint="eastAsia" w:ascii="仿宋_GB2312" w:hAnsi="仿宋" w:eastAsia="仿宋_GB2312"/>
          <w:sz w:val="32"/>
          <w:szCs w:val="32"/>
        </w:rPr>
        <w:t>万元，调入资金</w:t>
      </w:r>
      <w:r>
        <w:rPr>
          <w:rFonts w:hint="eastAsia" w:ascii="仿宋_GB2312" w:hAnsi="仿宋" w:eastAsia="仿宋_GB2312"/>
          <w:sz w:val="32"/>
          <w:szCs w:val="32"/>
          <w:lang w:val="en-US" w:eastAsia="zh-CN"/>
        </w:rPr>
        <w:t>27945</w:t>
      </w:r>
      <w:r>
        <w:rPr>
          <w:rFonts w:hint="eastAsia" w:ascii="仿宋_GB2312" w:hAnsi="仿宋" w:eastAsia="仿宋_GB2312"/>
          <w:sz w:val="32"/>
          <w:szCs w:val="32"/>
        </w:rPr>
        <w:t>万元</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动用预算稳定调节基金1921万元</w:t>
      </w:r>
      <w:r>
        <w:rPr>
          <w:rFonts w:hint="eastAsia" w:ascii="仿宋_GB2312" w:hAnsi="仿宋" w:eastAsia="仿宋_GB2312"/>
          <w:sz w:val="32"/>
          <w:szCs w:val="32"/>
        </w:rPr>
        <w:t>。</w:t>
      </w:r>
    </w:p>
    <w:p w14:paraId="054A3799">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 w:eastAsia="仿宋_GB2312"/>
          <w:sz w:val="32"/>
          <w:szCs w:val="32"/>
          <w:lang w:eastAsia="zh-CN"/>
        </w:rPr>
      </w:pPr>
      <w:r>
        <w:rPr>
          <w:rFonts w:hint="eastAsia" w:ascii="仿宋_GB2312" w:hAnsi="仿宋" w:eastAsia="仿宋_GB2312"/>
          <w:sz w:val="32"/>
          <w:szCs w:val="32"/>
        </w:rPr>
        <w:t>全县一般公共预算支出总计</w:t>
      </w:r>
      <w:r>
        <w:rPr>
          <w:rFonts w:hint="eastAsia" w:ascii="仿宋_GB2312" w:hAnsi="仿宋" w:eastAsia="仿宋_GB2312"/>
          <w:sz w:val="32"/>
          <w:szCs w:val="32"/>
          <w:lang w:val="en-US" w:eastAsia="zh-CN"/>
        </w:rPr>
        <w:t>535071</w:t>
      </w:r>
      <w:r>
        <w:rPr>
          <w:rFonts w:hint="eastAsia" w:ascii="仿宋_GB2312" w:hAnsi="仿宋" w:eastAsia="仿宋_GB2312"/>
          <w:sz w:val="32"/>
          <w:szCs w:val="32"/>
        </w:rPr>
        <w:t>万元，其中：一般公共预算支出</w:t>
      </w:r>
      <w:r>
        <w:rPr>
          <w:rFonts w:hint="eastAsia" w:ascii="仿宋_GB2312" w:hAnsi="仿宋" w:eastAsia="仿宋_GB2312"/>
          <w:sz w:val="32"/>
          <w:szCs w:val="32"/>
          <w:lang w:val="en-US" w:eastAsia="zh-CN"/>
        </w:rPr>
        <w:t>459198</w:t>
      </w:r>
      <w:r>
        <w:rPr>
          <w:rFonts w:hint="eastAsia" w:ascii="仿宋_GB2312" w:hAnsi="仿宋" w:eastAsia="仿宋_GB2312"/>
          <w:sz w:val="32"/>
          <w:szCs w:val="32"/>
        </w:rPr>
        <w:t>万元，上解上级支出</w:t>
      </w:r>
      <w:r>
        <w:rPr>
          <w:rFonts w:hint="eastAsia" w:ascii="仿宋_GB2312" w:hAnsi="仿宋" w:eastAsia="仿宋_GB2312"/>
          <w:sz w:val="32"/>
          <w:szCs w:val="32"/>
          <w:lang w:val="en-US" w:eastAsia="zh-CN"/>
        </w:rPr>
        <w:t>40031</w:t>
      </w:r>
      <w:r>
        <w:rPr>
          <w:rFonts w:hint="eastAsia" w:ascii="仿宋_GB2312" w:hAnsi="仿宋" w:eastAsia="仿宋_GB2312"/>
          <w:sz w:val="32"/>
          <w:szCs w:val="32"/>
        </w:rPr>
        <w:t>万元，地方政府一般债务还本支出</w:t>
      </w:r>
      <w:r>
        <w:rPr>
          <w:rFonts w:hint="eastAsia" w:ascii="仿宋_GB2312" w:hAnsi="仿宋" w:eastAsia="仿宋_GB2312"/>
          <w:sz w:val="32"/>
          <w:szCs w:val="32"/>
          <w:lang w:val="en-US" w:eastAsia="zh-CN"/>
        </w:rPr>
        <w:t>31751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含再融资）</w:t>
      </w:r>
      <w:r>
        <w:rPr>
          <w:rFonts w:hint="eastAsia" w:ascii="仿宋_GB2312" w:hAnsi="仿宋" w:eastAsia="仿宋_GB2312"/>
          <w:sz w:val="32"/>
          <w:szCs w:val="32"/>
        </w:rPr>
        <w:t>万元，结转结余</w:t>
      </w:r>
      <w:r>
        <w:rPr>
          <w:rFonts w:hint="eastAsia" w:ascii="仿宋_GB2312" w:hAnsi="仿宋" w:eastAsia="仿宋_GB2312"/>
          <w:sz w:val="32"/>
          <w:szCs w:val="32"/>
          <w:lang w:val="en-US" w:eastAsia="zh-CN"/>
        </w:rPr>
        <w:t>506</w:t>
      </w:r>
      <w:r>
        <w:rPr>
          <w:rFonts w:hint="eastAsia" w:ascii="仿宋_GB2312" w:hAnsi="仿宋" w:eastAsia="仿宋_GB2312"/>
          <w:sz w:val="32"/>
          <w:szCs w:val="32"/>
        </w:rPr>
        <w:t>万元</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安排预算稳定调节基金3585万元</w:t>
      </w:r>
      <w:r>
        <w:rPr>
          <w:rFonts w:hint="eastAsia" w:ascii="仿宋_GB2312" w:hAnsi="仿宋" w:eastAsia="仿宋_GB2312"/>
          <w:sz w:val="32"/>
          <w:szCs w:val="32"/>
          <w:lang w:eastAsia="zh-CN"/>
        </w:rPr>
        <w:t>。</w:t>
      </w:r>
    </w:p>
    <w:p w14:paraId="04896AB4">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 w:eastAsia="仿宋_GB2312"/>
          <w:sz w:val="32"/>
          <w:szCs w:val="32"/>
        </w:rPr>
      </w:pPr>
    </w:p>
    <w:p w14:paraId="05DFA4F6">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 w:eastAsia="仿宋_GB2312"/>
          <w:sz w:val="32"/>
          <w:szCs w:val="32"/>
        </w:rPr>
      </w:pPr>
    </w:p>
    <w:p w14:paraId="68C541FD">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 w:eastAsia="仿宋_GB2312"/>
          <w:sz w:val="32"/>
          <w:szCs w:val="32"/>
        </w:rPr>
      </w:pPr>
    </w:p>
    <w:p w14:paraId="33D83EB0">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 w:eastAsia="仿宋_GB2312"/>
          <w:sz w:val="32"/>
          <w:szCs w:val="32"/>
        </w:rPr>
      </w:pPr>
    </w:p>
    <w:p w14:paraId="4A78DDFE">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 w:eastAsia="仿宋_GB2312"/>
          <w:sz w:val="32"/>
          <w:szCs w:val="32"/>
        </w:rPr>
      </w:pPr>
    </w:p>
    <w:p w14:paraId="0F195E4E">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 w:eastAsia="仿宋_GB2312"/>
          <w:sz w:val="32"/>
          <w:szCs w:val="32"/>
        </w:rPr>
      </w:pPr>
    </w:p>
    <w:p w14:paraId="72BADFDB">
      <w:pPr>
        <w:spacing w:line="600" w:lineRule="exact"/>
        <w:ind w:firstLine="640" w:firstLineChars="200"/>
        <w:rPr>
          <w:rFonts w:hint="eastAsia" w:ascii="仿宋_GB2312" w:hAnsi="仿宋" w:eastAsia="仿宋_GB2312"/>
          <w:sz w:val="32"/>
          <w:szCs w:val="32"/>
        </w:rPr>
      </w:pPr>
    </w:p>
    <w:p w14:paraId="0FE6A2C6">
      <w:pPr>
        <w:spacing w:line="600" w:lineRule="exact"/>
        <w:rPr>
          <w:rFonts w:hint="eastAsia" w:ascii="仿宋_GB2312" w:hAnsi="仿宋" w:eastAsia="仿宋_GB2312"/>
          <w:sz w:val="32"/>
          <w:szCs w:val="32"/>
        </w:rPr>
      </w:pPr>
    </w:p>
    <w:tbl>
      <w:tblPr>
        <w:tblStyle w:val="20"/>
        <w:tblpPr w:leftFromText="180" w:rightFromText="180" w:vertAnchor="text" w:horzAnchor="page" w:tblpXSpec="center" w:tblpY="29"/>
        <w:tblOverlap w:val="never"/>
        <w:tblW w:w="8920" w:type="dxa"/>
        <w:jc w:val="center"/>
        <w:tblLayout w:type="fixed"/>
        <w:tblCellMar>
          <w:top w:w="0" w:type="dxa"/>
          <w:left w:w="108" w:type="dxa"/>
          <w:bottom w:w="0" w:type="dxa"/>
          <w:right w:w="108" w:type="dxa"/>
        </w:tblCellMar>
      </w:tblPr>
      <w:tblGrid>
        <w:gridCol w:w="3946"/>
        <w:gridCol w:w="1732"/>
        <w:gridCol w:w="1535"/>
        <w:gridCol w:w="1594"/>
        <w:gridCol w:w="113"/>
      </w:tblGrid>
      <w:tr w14:paraId="7008B404">
        <w:tblPrEx>
          <w:tblCellMar>
            <w:top w:w="0" w:type="dxa"/>
            <w:left w:w="108" w:type="dxa"/>
            <w:bottom w:w="0" w:type="dxa"/>
            <w:right w:w="108" w:type="dxa"/>
          </w:tblCellMar>
        </w:tblPrEx>
        <w:trPr>
          <w:cantSplit/>
          <w:trHeight w:val="1615" w:hRule="atLeast"/>
          <w:jc w:val="center"/>
        </w:trPr>
        <w:tc>
          <w:tcPr>
            <w:tcW w:w="8920" w:type="dxa"/>
            <w:gridSpan w:val="5"/>
            <w:tcBorders>
              <w:top w:val="nil"/>
              <w:left w:val="nil"/>
              <w:bottom w:val="nil"/>
              <w:right w:val="nil"/>
            </w:tcBorders>
            <w:shd w:val="clear" w:color="auto" w:fill="auto"/>
            <w:vAlign w:val="center"/>
          </w:tcPr>
          <w:p w14:paraId="36C39ECE">
            <w:pPr>
              <w:widowControl/>
              <w:ind w:left="960" w:right="-2392" w:rightChars="-1139" w:hanging="960" w:hangingChars="300"/>
              <w:jc w:val="left"/>
              <w:rPr>
                <w:rFonts w:hint="eastAsia" w:ascii="黑体" w:hAnsi="黑体" w:eastAsia="黑体" w:cs="黑体"/>
                <w:b w:val="0"/>
                <w:bCs w:val="0"/>
                <w:kern w:val="0"/>
                <w:sz w:val="32"/>
                <w:szCs w:val="32"/>
              </w:rPr>
            </w:pPr>
            <w:bookmarkStart w:id="0" w:name="RANGE!A1:E31"/>
            <w:r>
              <w:rPr>
                <w:rFonts w:hint="eastAsia" w:ascii="黑体" w:hAnsi="黑体" w:eastAsia="黑体" w:cs="黑体"/>
                <w:b w:val="0"/>
                <w:bCs w:val="0"/>
                <w:kern w:val="0"/>
                <w:sz w:val="32"/>
                <w:szCs w:val="32"/>
              </w:rPr>
              <w:t>表二</w:t>
            </w:r>
            <w:bookmarkEnd w:id="0"/>
          </w:p>
          <w:p w14:paraId="54E67F24">
            <w:pPr>
              <w:widowControl/>
              <w:ind w:left="1318" w:leftChars="418" w:right="-2392" w:rightChars="-1139" w:hanging="440" w:hangingChars="100"/>
              <w:jc w:val="left"/>
              <w:rPr>
                <w:rFonts w:hint="eastAsia" w:ascii="黑体" w:hAnsi="黑体" w:eastAsia="黑体" w:cs="黑体"/>
                <w:b w:val="0"/>
                <w:bCs w:val="0"/>
                <w:kern w:val="0"/>
                <w:sz w:val="32"/>
                <w:szCs w:val="32"/>
              </w:rPr>
            </w:pPr>
            <w:r>
              <w:rPr>
                <w:rFonts w:hint="default" w:ascii="方正小标宋简体" w:hAnsi="方正小标宋简体" w:eastAsia="方正小标宋简体" w:cs="方正小标宋简体"/>
                <w:b w:val="0"/>
                <w:bCs w:val="0"/>
                <w:i w:val="0"/>
                <w:iCs w:val="0"/>
                <w:color w:val="000000"/>
                <w:kern w:val="0"/>
                <w:sz w:val="44"/>
                <w:szCs w:val="44"/>
                <w:u w:val="none"/>
                <w:lang w:val="en-US" w:eastAsia="zh-CN" w:bidi="ar"/>
              </w:rPr>
              <w:t>202</w:t>
            </w: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5</w:t>
            </w:r>
            <w:r>
              <w:rPr>
                <w:rFonts w:hint="default" w:ascii="方正小标宋简体" w:hAnsi="方正小标宋简体" w:eastAsia="方正小标宋简体" w:cs="方正小标宋简体"/>
                <w:b w:val="0"/>
                <w:bCs w:val="0"/>
                <w:i w:val="0"/>
                <w:iCs w:val="0"/>
                <w:color w:val="000000"/>
                <w:kern w:val="0"/>
                <w:sz w:val="44"/>
                <w:szCs w:val="44"/>
                <w:u w:val="none"/>
                <w:lang w:val="en-US" w:eastAsia="zh-CN" w:bidi="ar"/>
              </w:rPr>
              <w:t>年一般公共预算</w:t>
            </w: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收入</w:t>
            </w:r>
            <w:r>
              <w:rPr>
                <w:rFonts w:hint="default" w:ascii="方正小标宋简体" w:hAnsi="方正小标宋简体" w:eastAsia="方正小标宋简体" w:cs="方正小标宋简体"/>
                <w:b w:val="0"/>
                <w:bCs w:val="0"/>
                <w:i w:val="0"/>
                <w:iCs w:val="0"/>
                <w:color w:val="000000"/>
                <w:kern w:val="0"/>
                <w:sz w:val="44"/>
                <w:szCs w:val="44"/>
                <w:u w:val="none"/>
                <w:lang w:val="en-US" w:eastAsia="zh-CN" w:bidi="ar"/>
              </w:rPr>
              <w:t>执行情况表</w:t>
            </w:r>
          </w:p>
        </w:tc>
      </w:tr>
      <w:tr w14:paraId="41501346">
        <w:tblPrEx>
          <w:tblCellMar>
            <w:top w:w="0" w:type="dxa"/>
            <w:left w:w="108" w:type="dxa"/>
            <w:bottom w:w="0" w:type="dxa"/>
            <w:right w:w="108" w:type="dxa"/>
          </w:tblCellMar>
        </w:tblPrEx>
        <w:trPr>
          <w:cantSplit/>
          <w:trHeight w:val="323" w:hRule="atLeast"/>
          <w:jc w:val="center"/>
        </w:trPr>
        <w:tc>
          <w:tcPr>
            <w:tcW w:w="8920" w:type="dxa"/>
            <w:gridSpan w:val="5"/>
            <w:tcBorders>
              <w:top w:val="nil"/>
              <w:left w:val="nil"/>
              <w:bottom w:val="nil"/>
              <w:right w:val="nil"/>
            </w:tcBorders>
            <w:shd w:val="clear" w:color="auto" w:fill="auto"/>
            <w:vAlign w:val="center"/>
          </w:tcPr>
          <w:p w14:paraId="635B3F79">
            <w:pPr>
              <w:widowControl/>
              <w:tabs>
                <w:tab w:val="left" w:pos="7830"/>
              </w:tabs>
              <w:ind w:right="-2392" w:rightChars="-1139"/>
              <w:jc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 xml:space="preserve">                                      </w:t>
            </w:r>
            <w:r>
              <w:rPr>
                <w:rFonts w:hint="eastAsia" w:ascii="宋体" w:hAnsi="宋体" w:eastAsia="宋体" w:cs="宋体"/>
                <w:b w:val="0"/>
                <w:bCs w:val="0"/>
                <w:i w:val="0"/>
                <w:iCs w:val="0"/>
                <w:color w:val="000000"/>
                <w:kern w:val="0"/>
                <w:sz w:val="24"/>
                <w:szCs w:val="24"/>
                <w:u w:val="none"/>
                <w:lang w:val="en-US" w:eastAsia="zh-CN" w:bidi="ar"/>
              </w:rPr>
              <w:t>单位：万元</w:t>
            </w:r>
          </w:p>
        </w:tc>
      </w:tr>
      <w:tr w14:paraId="3AD35EEF">
        <w:tblPrEx>
          <w:tblCellMar>
            <w:top w:w="0" w:type="dxa"/>
            <w:left w:w="108" w:type="dxa"/>
            <w:bottom w:w="0" w:type="dxa"/>
            <w:right w:w="108" w:type="dxa"/>
          </w:tblCellMar>
        </w:tblPrEx>
        <w:trPr>
          <w:gridAfter w:val="1"/>
          <w:wAfter w:w="113" w:type="dxa"/>
          <w:cantSplit/>
          <w:trHeight w:val="403" w:hRule="atLeast"/>
          <w:jc w:val="center"/>
        </w:trPr>
        <w:tc>
          <w:tcPr>
            <w:tcW w:w="3946" w:type="dxa"/>
            <w:tcBorders>
              <w:top w:val="single" w:color="auto" w:sz="4" w:space="0"/>
              <w:left w:val="single" w:color="auto" w:sz="4" w:space="0"/>
              <w:bottom w:val="single" w:color="auto" w:sz="4" w:space="0"/>
              <w:right w:val="single" w:color="auto" w:sz="4" w:space="0"/>
            </w:tcBorders>
            <w:shd w:val="clear" w:color="auto" w:fill="auto"/>
            <w:vAlign w:val="center"/>
          </w:tcPr>
          <w:p w14:paraId="340B4A49">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项   目</w:t>
            </w:r>
          </w:p>
        </w:tc>
        <w:tc>
          <w:tcPr>
            <w:tcW w:w="1732" w:type="dxa"/>
            <w:tcBorders>
              <w:top w:val="single" w:color="auto" w:sz="4" w:space="0"/>
              <w:left w:val="nil"/>
              <w:bottom w:val="single" w:color="auto" w:sz="4" w:space="0"/>
              <w:right w:val="single" w:color="auto" w:sz="4" w:space="0"/>
            </w:tcBorders>
            <w:shd w:val="clear" w:color="auto" w:fill="auto"/>
            <w:vAlign w:val="center"/>
          </w:tcPr>
          <w:p w14:paraId="5CAA7BB3">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预算数</w:t>
            </w:r>
          </w:p>
        </w:tc>
        <w:tc>
          <w:tcPr>
            <w:tcW w:w="1535" w:type="dxa"/>
            <w:tcBorders>
              <w:top w:val="single" w:color="auto" w:sz="4" w:space="0"/>
              <w:left w:val="nil"/>
              <w:bottom w:val="single" w:color="auto" w:sz="4" w:space="0"/>
              <w:right w:val="single" w:color="auto" w:sz="4" w:space="0"/>
            </w:tcBorders>
            <w:shd w:val="clear" w:color="auto" w:fill="auto"/>
            <w:vAlign w:val="center"/>
          </w:tcPr>
          <w:p w14:paraId="0EA5E57C">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执行数</w:t>
            </w:r>
          </w:p>
        </w:tc>
        <w:tc>
          <w:tcPr>
            <w:tcW w:w="1594" w:type="dxa"/>
            <w:tcBorders>
              <w:top w:val="single" w:color="auto" w:sz="4" w:space="0"/>
              <w:left w:val="nil"/>
              <w:bottom w:val="single" w:color="auto" w:sz="4" w:space="0"/>
              <w:right w:val="single" w:color="auto" w:sz="4" w:space="0"/>
            </w:tcBorders>
            <w:shd w:val="clear" w:color="auto" w:fill="auto"/>
            <w:vAlign w:val="center"/>
          </w:tcPr>
          <w:p w14:paraId="100A48C2">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为预算数%</w:t>
            </w:r>
          </w:p>
        </w:tc>
      </w:tr>
      <w:tr w14:paraId="14C6981C">
        <w:tblPrEx>
          <w:tblCellMar>
            <w:top w:w="0" w:type="dxa"/>
            <w:left w:w="108" w:type="dxa"/>
            <w:bottom w:w="0" w:type="dxa"/>
            <w:right w:w="108" w:type="dxa"/>
          </w:tblCellMar>
        </w:tblPrEx>
        <w:trPr>
          <w:gridAfter w:val="1"/>
          <w:wAfter w:w="113" w:type="dxa"/>
          <w:cantSplit/>
          <w:trHeight w:val="397" w:hRule="atLeast"/>
          <w:jc w:val="center"/>
        </w:trPr>
        <w:tc>
          <w:tcPr>
            <w:tcW w:w="3946" w:type="dxa"/>
            <w:tcBorders>
              <w:top w:val="nil"/>
              <w:left w:val="single" w:color="auto" w:sz="4" w:space="0"/>
              <w:bottom w:val="single" w:color="auto" w:sz="4" w:space="0"/>
              <w:right w:val="single" w:color="auto" w:sz="4" w:space="0"/>
            </w:tcBorders>
            <w:shd w:val="clear" w:color="auto" w:fill="auto"/>
            <w:vAlign w:val="center"/>
          </w:tcPr>
          <w:p w14:paraId="1EAFB4CA">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税收收入</w:t>
            </w:r>
          </w:p>
        </w:tc>
        <w:tc>
          <w:tcPr>
            <w:tcW w:w="1732" w:type="dxa"/>
            <w:tcBorders>
              <w:top w:val="nil"/>
              <w:left w:val="nil"/>
              <w:bottom w:val="single" w:color="auto" w:sz="4" w:space="0"/>
              <w:right w:val="single" w:color="auto" w:sz="4" w:space="0"/>
            </w:tcBorders>
            <w:shd w:val="clear" w:color="000000" w:fill="FFFFFF"/>
            <w:vAlign w:val="center"/>
          </w:tcPr>
          <w:p w14:paraId="7779BD49">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116000</w:t>
            </w:r>
          </w:p>
        </w:tc>
        <w:tc>
          <w:tcPr>
            <w:tcW w:w="1535" w:type="dxa"/>
            <w:tcBorders>
              <w:top w:val="nil"/>
              <w:left w:val="nil"/>
              <w:bottom w:val="single" w:color="auto" w:sz="4" w:space="0"/>
              <w:right w:val="single" w:color="auto" w:sz="4" w:space="0"/>
            </w:tcBorders>
            <w:shd w:val="clear" w:color="000000" w:fill="FFFFFF"/>
            <w:vAlign w:val="center"/>
          </w:tcPr>
          <w:p w14:paraId="288A2767">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116329 </w:t>
            </w:r>
          </w:p>
        </w:tc>
        <w:tc>
          <w:tcPr>
            <w:tcW w:w="1594" w:type="dxa"/>
            <w:tcBorders>
              <w:top w:val="nil"/>
              <w:left w:val="nil"/>
              <w:bottom w:val="single" w:color="auto" w:sz="4" w:space="0"/>
              <w:right w:val="single" w:color="auto" w:sz="4" w:space="0"/>
            </w:tcBorders>
            <w:shd w:val="clear" w:color="auto" w:fill="auto"/>
            <w:vAlign w:val="center"/>
          </w:tcPr>
          <w:p w14:paraId="4C2A02C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100.3%</w:t>
            </w:r>
          </w:p>
        </w:tc>
      </w:tr>
      <w:tr w14:paraId="0AC4A380">
        <w:tblPrEx>
          <w:tblCellMar>
            <w:top w:w="0" w:type="dxa"/>
            <w:left w:w="108" w:type="dxa"/>
            <w:bottom w:w="0" w:type="dxa"/>
            <w:right w:w="108" w:type="dxa"/>
          </w:tblCellMar>
        </w:tblPrEx>
        <w:trPr>
          <w:gridAfter w:val="1"/>
          <w:wAfter w:w="113" w:type="dxa"/>
          <w:cantSplit/>
          <w:trHeight w:val="397" w:hRule="atLeast"/>
          <w:jc w:val="center"/>
        </w:trPr>
        <w:tc>
          <w:tcPr>
            <w:tcW w:w="3946" w:type="dxa"/>
            <w:tcBorders>
              <w:top w:val="nil"/>
              <w:left w:val="single" w:color="auto" w:sz="4" w:space="0"/>
              <w:bottom w:val="single" w:color="auto" w:sz="4" w:space="0"/>
              <w:right w:val="single" w:color="auto" w:sz="4" w:space="0"/>
            </w:tcBorders>
            <w:shd w:val="clear" w:color="auto" w:fill="auto"/>
            <w:vAlign w:val="center"/>
          </w:tcPr>
          <w:p w14:paraId="0B787C3B">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      增值税</w:t>
            </w:r>
          </w:p>
        </w:tc>
        <w:tc>
          <w:tcPr>
            <w:tcW w:w="1732" w:type="dxa"/>
            <w:tcBorders>
              <w:top w:val="nil"/>
              <w:left w:val="nil"/>
              <w:bottom w:val="single" w:color="auto" w:sz="4" w:space="0"/>
              <w:right w:val="single" w:color="auto" w:sz="4" w:space="0"/>
            </w:tcBorders>
            <w:shd w:val="clear" w:color="auto" w:fill="auto"/>
            <w:vAlign w:val="center"/>
          </w:tcPr>
          <w:p w14:paraId="49A77ECA">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28700 </w:t>
            </w:r>
          </w:p>
        </w:tc>
        <w:tc>
          <w:tcPr>
            <w:tcW w:w="1535" w:type="dxa"/>
            <w:tcBorders>
              <w:top w:val="nil"/>
              <w:left w:val="nil"/>
              <w:bottom w:val="single" w:color="auto" w:sz="4" w:space="0"/>
              <w:right w:val="single" w:color="auto" w:sz="4" w:space="0"/>
            </w:tcBorders>
            <w:shd w:val="clear" w:color="auto" w:fill="auto"/>
            <w:vAlign w:val="center"/>
          </w:tcPr>
          <w:p w14:paraId="71CFEA3C">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28747 </w:t>
            </w:r>
          </w:p>
        </w:tc>
        <w:tc>
          <w:tcPr>
            <w:tcW w:w="1594" w:type="dxa"/>
            <w:tcBorders>
              <w:top w:val="nil"/>
              <w:left w:val="nil"/>
              <w:bottom w:val="single" w:color="auto" w:sz="4" w:space="0"/>
              <w:right w:val="single" w:color="auto" w:sz="4" w:space="0"/>
            </w:tcBorders>
            <w:shd w:val="clear" w:color="auto" w:fill="auto"/>
            <w:vAlign w:val="center"/>
          </w:tcPr>
          <w:p w14:paraId="4B300D5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100.2%</w:t>
            </w:r>
          </w:p>
        </w:tc>
      </w:tr>
      <w:tr w14:paraId="52BEA9C0">
        <w:tblPrEx>
          <w:tblCellMar>
            <w:top w:w="0" w:type="dxa"/>
            <w:left w:w="108" w:type="dxa"/>
            <w:bottom w:w="0" w:type="dxa"/>
            <w:right w:w="108" w:type="dxa"/>
          </w:tblCellMar>
        </w:tblPrEx>
        <w:trPr>
          <w:gridAfter w:val="1"/>
          <w:wAfter w:w="113" w:type="dxa"/>
          <w:cantSplit/>
          <w:trHeight w:val="397" w:hRule="atLeast"/>
          <w:jc w:val="center"/>
        </w:trPr>
        <w:tc>
          <w:tcPr>
            <w:tcW w:w="3946" w:type="dxa"/>
            <w:tcBorders>
              <w:top w:val="nil"/>
              <w:left w:val="single" w:color="auto" w:sz="4" w:space="0"/>
              <w:bottom w:val="single" w:color="auto" w:sz="4" w:space="0"/>
              <w:right w:val="single" w:color="auto" w:sz="4" w:space="0"/>
            </w:tcBorders>
            <w:shd w:val="clear" w:color="auto" w:fill="auto"/>
            <w:vAlign w:val="center"/>
          </w:tcPr>
          <w:p w14:paraId="476E01D2">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      企业所得税</w:t>
            </w:r>
          </w:p>
        </w:tc>
        <w:tc>
          <w:tcPr>
            <w:tcW w:w="1732" w:type="dxa"/>
            <w:tcBorders>
              <w:top w:val="nil"/>
              <w:left w:val="nil"/>
              <w:bottom w:val="single" w:color="auto" w:sz="4" w:space="0"/>
              <w:right w:val="single" w:color="auto" w:sz="4" w:space="0"/>
            </w:tcBorders>
            <w:shd w:val="clear" w:color="auto" w:fill="auto"/>
            <w:vAlign w:val="center"/>
          </w:tcPr>
          <w:p w14:paraId="5C91BF9C">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9800 </w:t>
            </w:r>
          </w:p>
        </w:tc>
        <w:tc>
          <w:tcPr>
            <w:tcW w:w="1535" w:type="dxa"/>
            <w:tcBorders>
              <w:top w:val="nil"/>
              <w:left w:val="nil"/>
              <w:bottom w:val="single" w:color="auto" w:sz="4" w:space="0"/>
              <w:right w:val="single" w:color="auto" w:sz="4" w:space="0"/>
            </w:tcBorders>
            <w:shd w:val="clear" w:color="auto" w:fill="auto"/>
            <w:vAlign w:val="center"/>
          </w:tcPr>
          <w:p w14:paraId="3B8FBF3D">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6969 </w:t>
            </w:r>
          </w:p>
        </w:tc>
        <w:tc>
          <w:tcPr>
            <w:tcW w:w="1594" w:type="dxa"/>
            <w:tcBorders>
              <w:top w:val="nil"/>
              <w:left w:val="nil"/>
              <w:bottom w:val="single" w:color="auto" w:sz="4" w:space="0"/>
              <w:right w:val="single" w:color="auto" w:sz="4" w:space="0"/>
            </w:tcBorders>
            <w:shd w:val="clear" w:color="auto" w:fill="auto"/>
            <w:vAlign w:val="center"/>
          </w:tcPr>
          <w:p w14:paraId="60DB9A8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71.1%</w:t>
            </w:r>
          </w:p>
        </w:tc>
      </w:tr>
      <w:tr w14:paraId="63118C41">
        <w:tblPrEx>
          <w:tblCellMar>
            <w:top w:w="0" w:type="dxa"/>
            <w:left w:w="108" w:type="dxa"/>
            <w:bottom w:w="0" w:type="dxa"/>
            <w:right w:w="108" w:type="dxa"/>
          </w:tblCellMar>
        </w:tblPrEx>
        <w:trPr>
          <w:gridAfter w:val="1"/>
          <w:wAfter w:w="113" w:type="dxa"/>
          <w:cantSplit/>
          <w:trHeight w:val="397" w:hRule="atLeast"/>
          <w:jc w:val="center"/>
        </w:trPr>
        <w:tc>
          <w:tcPr>
            <w:tcW w:w="3946" w:type="dxa"/>
            <w:tcBorders>
              <w:top w:val="nil"/>
              <w:left w:val="single" w:color="auto" w:sz="4" w:space="0"/>
              <w:bottom w:val="single" w:color="auto" w:sz="4" w:space="0"/>
              <w:right w:val="single" w:color="auto" w:sz="4" w:space="0"/>
            </w:tcBorders>
            <w:shd w:val="clear" w:color="auto" w:fill="auto"/>
            <w:vAlign w:val="center"/>
          </w:tcPr>
          <w:p w14:paraId="100F93E2">
            <w:pPr>
              <w:keepNext w:val="0"/>
              <w:keepLines w:val="0"/>
              <w:widowControl/>
              <w:suppressLineNumbers w:val="0"/>
              <w:jc w:val="both"/>
              <w:textAlignment w:val="center"/>
              <w:rPr>
                <w:rFonts w:hint="default" w:ascii="宋体" w:hAnsi="宋体" w:eastAsia="宋体" w:cs="宋体"/>
                <w:sz w:val="24"/>
                <w:szCs w:val="24"/>
                <w:lang w:val="en-US"/>
              </w:rPr>
            </w:pPr>
            <w:r>
              <w:rPr>
                <w:rFonts w:hint="eastAsia" w:ascii="宋体" w:hAnsi="宋体" w:eastAsia="宋体" w:cs="宋体"/>
                <w:i w:val="0"/>
                <w:iCs w:val="0"/>
                <w:color w:val="000000"/>
                <w:kern w:val="0"/>
                <w:sz w:val="24"/>
                <w:szCs w:val="24"/>
                <w:u w:val="none"/>
                <w:lang w:val="en-US" w:eastAsia="zh-CN" w:bidi="ar"/>
              </w:rPr>
              <w:t xml:space="preserve">      个人所得税</w:t>
            </w:r>
          </w:p>
        </w:tc>
        <w:tc>
          <w:tcPr>
            <w:tcW w:w="1732" w:type="dxa"/>
            <w:tcBorders>
              <w:top w:val="nil"/>
              <w:left w:val="nil"/>
              <w:bottom w:val="single" w:color="auto" w:sz="4" w:space="0"/>
              <w:right w:val="single" w:color="auto" w:sz="4" w:space="0"/>
            </w:tcBorders>
            <w:shd w:val="clear" w:color="auto" w:fill="auto"/>
            <w:vAlign w:val="center"/>
          </w:tcPr>
          <w:p w14:paraId="5234BAD4">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1500 </w:t>
            </w:r>
          </w:p>
        </w:tc>
        <w:tc>
          <w:tcPr>
            <w:tcW w:w="1535" w:type="dxa"/>
            <w:tcBorders>
              <w:top w:val="nil"/>
              <w:left w:val="nil"/>
              <w:bottom w:val="single" w:color="auto" w:sz="4" w:space="0"/>
              <w:right w:val="single" w:color="auto" w:sz="4" w:space="0"/>
            </w:tcBorders>
            <w:shd w:val="clear" w:color="auto" w:fill="auto"/>
            <w:vAlign w:val="center"/>
          </w:tcPr>
          <w:p w14:paraId="494A5D7C">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1302 </w:t>
            </w:r>
          </w:p>
        </w:tc>
        <w:tc>
          <w:tcPr>
            <w:tcW w:w="1594" w:type="dxa"/>
            <w:tcBorders>
              <w:top w:val="nil"/>
              <w:left w:val="nil"/>
              <w:bottom w:val="single" w:color="auto" w:sz="4" w:space="0"/>
              <w:right w:val="single" w:color="auto" w:sz="4" w:space="0"/>
            </w:tcBorders>
            <w:shd w:val="clear" w:color="auto" w:fill="auto"/>
            <w:vAlign w:val="center"/>
          </w:tcPr>
          <w:p w14:paraId="5536DEE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86.8%</w:t>
            </w:r>
          </w:p>
        </w:tc>
      </w:tr>
      <w:tr w14:paraId="1CDB0A4F">
        <w:tblPrEx>
          <w:tblCellMar>
            <w:top w:w="0" w:type="dxa"/>
            <w:left w:w="108" w:type="dxa"/>
            <w:bottom w:w="0" w:type="dxa"/>
            <w:right w:w="108" w:type="dxa"/>
          </w:tblCellMar>
        </w:tblPrEx>
        <w:trPr>
          <w:gridAfter w:val="1"/>
          <w:wAfter w:w="113" w:type="dxa"/>
          <w:cantSplit/>
          <w:trHeight w:val="397" w:hRule="atLeast"/>
          <w:jc w:val="center"/>
        </w:trPr>
        <w:tc>
          <w:tcPr>
            <w:tcW w:w="3946" w:type="dxa"/>
            <w:tcBorders>
              <w:top w:val="nil"/>
              <w:left w:val="single" w:color="auto" w:sz="4" w:space="0"/>
              <w:bottom w:val="single" w:color="auto" w:sz="4" w:space="0"/>
              <w:right w:val="single" w:color="auto" w:sz="4" w:space="0"/>
            </w:tcBorders>
            <w:shd w:val="clear" w:color="auto" w:fill="auto"/>
            <w:vAlign w:val="center"/>
          </w:tcPr>
          <w:p w14:paraId="5299FEEB">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      资源税</w:t>
            </w:r>
          </w:p>
        </w:tc>
        <w:tc>
          <w:tcPr>
            <w:tcW w:w="1732" w:type="dxa"/>
            <w:tcBorders>
              <w:top w:val="nil"/>
              <w:left w:val="nil"/>
              <w:bottom w:val="single" w:color="auto" w:sz="4" w:space="0"/>
              <w:right w:val="single" w:color="auto" w:sz="4" w:space="0"/>
            </w:tcBorders>
            <w:shd w:val="clear" w:color="auto" w:fill="auto"/>
            <w:vAlign w:val="center"/>
          </w:tcPr>
          <w:p w14:paraId="4C364FCD">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12000 </w:t>
            </w:r>
          </w:p>
        </w:tc>
        <w:tc>
          <w:tcPr>
            <w:tcW w:w="1535" w:type="dxa"/>
            <w:tcBorders>
              <w:top w:val="nil"/>
              <w:left w:val="nil"/>
              <w:bottom w:val="single" w:color="auto" w:sz="4" w:space="0"/>
              <w:right w:val="single" w:color="auto" w:sz="4" w:space="0"/>
            </w:tcBorders>
            <w:shd w:val="clear" w:color="auto" w:fill="auto"/>
            <w:vAlign w:val="center"/>
          </w:tcPr>
          <w:p w14:paraId="34D47E5F">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6117 </w:t>
            </w:r>
          </w:p>
        </w:tc>
        <w:tc>
          <w:tcPr>
            <w:tcW w:w="1594" w:type="dxa"/>
            <w:tcBorders>
              <w:top w:val="nil"/>
              <w:left w:val="nil"/>
              <w:bottom w:val="single" w:color="auto" w:sz="4" w:space="0"/>
              <w:right w:val="single" w:color="auto" w:sz="4" w:space="0"/>
            </w:tcBorders>
            <w:shd w:val="clear" w:color="auto" w:fill="auto"/>
            <w:vAlign w:val="center"/>
          </w:tcPr>
          <w:p w14:paraId="562D1147">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51%</w:t>
            </w:r>
          </w:p>
        </w:tc>
      </w:tr>
      <w:tr w14:paraId="69A4A42C">
        <w:tblPrEx>
          <w:tblCellMar>
            <w:top w:w="0" w:type="dxa"/>
            <w:left w:w="108" w:type="dxa"/>
            <w:bottom w:w="0" w:type="dxa"/>
            <w:right w:w="108" w:type="dxa"/>
          </w:tblCellMar>
        </w:tblPrEx>
        <w:trPr>
          <w:gridAfter w:val="1"/>
          <w:wAfter w:w="113" w:type="dxa"/>
          <w:cantSplit/>
          <w:trHeight w:val="397" w:hRule="atLeast"/>
          <w:jc w:val="center"/>
        </w:trPr>
        <w:tc>
          <w:tcPr>
            <w:tcW w:w="3946" w:type="dxa"/>
            <w:tcBorders>
              <w:top w:val="nil"/>
              <w:left w:val="single" w:color="auto" w:sz="4" w:space="0"/>
              <w:bottom w:val="single" w:color="auto" w:sz="4" w:space="0"/>
              <w:right w:val="single" w:color="auto" w:sz="4" w:space="0"/>
            </w:tcBorders>
            <w:shd w:val="clear" w:color="auto" w:fill="auto"/>
            <w:vAlign w:val="center"/>
          </w:tcPr>
          <w:p w14:paraId="64A82E6F">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      城市维护建设税</w:t>
            </w:r>
          </w:p>
        </w:tc>
        <w:tc>
          <w:tcPr>
            <w:tcW w:w="1732" w:type="dxa"/>
            <w:tcBorders>
              <w:top w:val="nil"/>
              <w:left w:val="nil"/>
              <w:bottom w:val="single" w:color="auto" w:sz="4" w:space="0"/>
              <w:right w:val="single" w:color="auto" w:sz="4" w:space="0"/>
            </w:tcBorders>
            <w:shd w:val="clear" w:color="auto" w:fill="auto"/>
            <w:vAlign w:val="center"/>
          </w:tcPr>
          <w:p w14:paraId="0A5875A2">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2800 </w:t>
            </w:r>
          </w:p>
        </w:tc>
        <w:tc>
          <w:tcPr>
            <w:tcW w:w="1535" w:type="dxa"/>
            <w:tcBorders>
              <w:top w:val="nil"/>
              <w:left w:val="nil"/>
              <w:bottom w:val="single" w:color="auto" w:sz="4" w:space="0"/>
              <w:right w:val="single" w:color="auto" w:sz="4" w:space="0"/>
            </w:tcBorders>
            <w:shd w:val="clear" w:color="auto" w:fill="auto"/>
            <w:vAlign w:val="center"/>
          </w:tcPr>
          <w:p w14:paraId="5619CD7F">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1926 </w:t>
            </w:r>
          </w:p>
        </w:tc>
        <w:tc>
          <w:tcPr>
            <w:tcW w:w="1594" w:type="dxa"/>
            <w:tcBorders>
              <w:top w:val="nil"/>
              <w:left w:val="nil"/>
              <w:bottom w:val="single" w:color="auto" w:sz="4" w:space="0"/>
              <w:right w:val="single" w:color="auto" w:sz="4" w:space="0"/>
            </w:tcBorders>
            <w:shd w:val="clear" w:color="auto" w:fill="auto"/>
            <w:vAlign w:val="center"/>
          </w:tcPr>
          <w:p w14:paraId="3BA4526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68.8%</w:t>
            </w:r>
          </w:p>
        </w:tc>
      </w:tr>
      <w:tr w14:paraId="40F0F000">
        <w:tblPrEx>
          <w:tblCellMar>
            <w:top w:w="0" w:type="dxa"/>
            <w:left w:w="108" w:type="dxa"/>
            <w:bottom w:w="0" w:type="dxa"/>
            <w:right w:w="108" w:type="dxa"/>
          </w:tblCellMar>
        </w:tblPrEx>
        <w:trPr>
          <w:gridAfter w:val="1"/>
          <w:wAfter w:w="113" w:type="dxa"/>
          <w:cantSplit/>
          <w:trHeight w:val="397" w:hRule="atLeast"/>
          <w:jc w:val="center"/>
        </w:trPr>
        <w:tc>
          <w:tcPr>
            <w:tcW w:w="3946" w:type="dxa"/>
            <w:tcBorders>
              <w:top w:val="nil"/>
              <w:left w:val="single" w:color="auto" w:sz="4" w:space="0"/>
              <w:bottom w:val="single" w:color="auto" w:sz="4" w:space="0"/>
              <w:right w:val="single" w:color="auto" w:sz="4" w:space="0"/>
            </w:tcBorders>
            <w:shd w:val="clear" w:color="auto" w:fill="auto"/>
            <w:vAlign w:val="center"/>
          </w:tcPr>
          <w:p w14:paraId="72681558">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      房产税</w:t>
            </w:r>
          </w:p>
        </w:tc>
        <w:tc>
          <w:tcPr>
            <w:tcW w:w="1732" w:type="dxa"/>
            <w:tcBorders>
              <w:top w:val="nil"/>
              <w:left w:val="nil"/>
              <w:bottom w:val="single" w:color="auto" w:sz="4" w:space="0"/>
              <w:right w:val="single" w:color="auto" w:sz="4" w:space="0"/>
            </w:tcBorders>
            <w:shd w:val="clear" w:color="auto" w:fill="auto"/>
            <w:vAlign w:val="center"/>
          </w:tcPr>
          <w:p w14:paraId="61645F9A">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4500 </w:t>
            </w:r>
          </w:p>
        </w:tc>
        <w:tc>
          <w:tcPr>
            <w:tcW w:w="1535" w:type="dxa"/>
            <w:tcBorders>
              <w:top w:val="nil"/>
              <w:left w:val="nil"/>
              <w:bottom w:val="single" w:color="auto" w:sz="4" w:space="0"/>
              <w:right w:val="single" w:color="auto" w:sz="4" w:space="0"/>
            </w:tcBorders>
            <w:shd w:val="clear" w:color="auto" w:fill="auto"/>
            <w:vAlign w:val="center"/>
          </w:tcPr>
          <w:p w14:paraId="0EE7995B">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4332 </w:t>
            </w:r>
          </w:p>
        </w:tc>
        <w:tc>
          <w:tcPr>
            <w:tcW w:w="1594" w:type="dxa"/>
            <w:tcBorders>
              <w:top w:val="nil"/>
              <w:left w:val="nil"/>
              <w:bottom w:val="single" w:color="auto" w:sz="4" w:space="0"/>
              <w:right w:val="single" w:color="auto" w:sz="4" w:space="0"/>
            </w:tcBorders>
            <w:shd w:val="clear" w:color="auto" w:fill="auto"/>
            <w:vAlign w:val="center"/>
          </w:tcPr>
          <w:p w14:paraId="2079BA9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96.3%</w:t>
            </w:r>
          </w:p>
        </w:tc>
      </w:tr>
      <w:tr w14:paraId="08CAA747">
        <w:tblPrEx>
          <w:tblCellMar>
            <w:top w:w="0" w:type="dxa"/>
            <w:left w:w="108" w:type="dxa"/>
            <w:bottom w:w="0" w:type="dxa"/>
            <w:right w:w="108" w:type="dxa"/>
          </w:tblCellMar>
        </w:tblPrEx>
        <w:trPr>
          <w:gridAfter w:val="1"/>
          <w:wAfter w:w="113" w:type="dxa"/>
          <w:cantSplit/>
          <w:trHeight w:val="397" w:hRule="atLeast"/>
          <w:jc w:val="center"/>
        </w:trPr>
        <w:tc>
          <w:tcPr>
            <w:tcW w:w="3946" w:type="dxa"/>
            <w:tcBorders>
              <w:top w:val="nil"/>
              <w:left w:val="single" w:color="auto" w:sz="4" w:space="0"/>
              <w:bottom w:val="single" w:color="auto" w:sz="4" w:space="0"/>
              <w:right w:val="single" w:color="auto" w:sz="4" w:space="0"/>
            </w:tcBorders>
            <w:shd w:val="clear" w:color="auto" w:fill="auto"/>
            <w:vAlign w:val="center"/>
          </w:tcPr>
          <w:p w14:paraId="25235528">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      印花税</w:t>
            </w:r>
          </w:p>
        </w:tc>
        <w:tc>
          <w:tcPr>
            <w:tcW w:w="1732" w:type="dxa"/>
            <w:tcBorders>
              <w:top w:val="nil"/>
              <w:left w:val="nil"/>
              <w:bottom w:val="single" w:color="auto" w:sz="4" w:space="0"/>
              <w:right w:val="single" w:color="auto" w:sz="4" w:space="0"/>
            </w:tcBorders>
            <w:shd w:val="clear" w:color="auto" w:fill="auto"/>
            <w:vAlign w:val="center"/>
          </w:tcPr>
          <w:p w14:paraId="797C97ED">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2300 </w:t>
            </w:r>
          </w:p>
        </w:tc>
        <w:tc>
          <w:tcPr>
            <w:tcW w:w="1535" w:type="dxa"/>
            <w:tcBorders>
              <w:top w:val="nil"/>
              <w:left w:val="nil"/>
              <w:bottom w:val="single" w:color="auto" w:sz="4" w:space="0"/>
              <w:right w:val="single" w:color="auto" w:sz="4" w:space="0"/>
            </w:tcBorders>
            <w:shd w:val="clear" w:color="auto" w:fill="auto"/>
            <w:vAlign w:val="center"/>
          </w:tcPr>
          <w:p w14:paraId="303508BE">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1919 </w:t>
            </w:r>
          </w:p>
        </w:tc>
        <w:tc>
          <w:tcPr>
            <w:tcW w:w="1594" w:type="dxa"/>
            <w:tcBorders>
              <w:top w:val="nil"/>
              <w:left w:val="nil"/>
              <w:bottom w:val="single" w:color="auto" w:sz="4" w:space="0"/>
              <w:right w:val="single" w:color="auto" w:sz="4" w:space="0"/>
            </w:tcBorders>
            <w:shd w:val="clear" w:color="auto" w:fill="auto"/>
            <w:vAlign w:val="center"/>
          </w:tcPr>
          <w:p w14:paraId="71BE0F7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83.4%</w:t>
            </w:r>
          </w:p>
        </w:tc>
      </w:tr>
      <w:tr w14:paraId="4D04ECA8">
        <w:tblPrEx>
          <w:tblCellMar>
            <w:top w:w="0" w:type="dxa"/>
            <w:left w:w="108" w:type="dxa"/>
            <w:bottom w:w="0" w:type="dxa"/>
            <w:right w:w="108" w:type="dxa"/>
          </w:tblCellMar>
        </w:tblPrEx>
        <w:trPr>
          <w:gridAfter w:val="1"/>
          <w:wAfter w:w="113" w:type="dxa"/>
          <w:cantSplit/>
          <w:trHeight w:val="397" w:hRule="atLeast"/>
          <w:jc w:val="center"/>
        </w:trPr>
        <w:tc>
          <w:tcPr>
            <w:tcW w:w="3946" w:type="dxa"/>
            <w:tcBorders>
              <w:top w:val="nil"/>
              <w:left w:val="single" w:color="auto" w:sz="4" w:space="0"/>
              <w:bottom w:val="single" w:color="auto" w:sz="4" w:space="0"/>
              <w:right w:val="single" w:color="auto" w:sz="4" w:space="0"/>
            </w:tcBorders>
            <w:shd w:val="clear" w:color="auto" w:fill="auto"/>
            <w:vAlign w:val="center"/>
          </w:tcPr>
          <w:p w14:paraId="0A2D52C0">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      城镇土地使用税</w:t>
            </w:r>
          </w:p>
        </w:tc>
        <w:tc>
          <w:tcPr>
            <w:tcW w:w="1732" w:type="dxa"/>
            <w:tcBorders>
              <w:top w:val="nil"/>
              <w:left w:val="nil"/>
              <w:bottom w:val="single" w:color="auto" w:sz="4" w:space="0"/>
              <w:right w:val="single" w:color="auto" w:sz="4" w:space="0"/>
            </w:tcBorders>
            <w:shd w:val="clear" w:color="auto" w:fill="auto"/>
            <w:vAlign w:val="center"/>
          </w:tcPr>
          <w:p w14:paraId="1F6539DD">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17300 </w:t>
            </w:r>
          </w:p>
        </w:tc>
        <w:tc>
          <w:tcPr>
            <w:tcW w:w="1535" w:type="dxa"/>
            <w:tcBorders>
              <w:top w:val="nil"/>
              <w:left w:val="nil"/>
              <w:bottom w:val="single" w:color="auto" w:sz="4" w:space="0"/>
              <w:right w:val="single" w:color="auto" w:sz="4" w:space="0"/>
            </w:tcBorders>
            <w:shd w:val="clear" w:color="auto" w:fill="auto"/>
            <w:vAlign w:val="center"/>
          </w:tcPr>
          <w:p w14:paraId="4F737BDD">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7350 </w:t>
            </w:r>
          </w:p>
        </w:tc>
        <w:tc>
          <w:tcPr>
            <w:tcW w:w="1594" w:type="dxa"/>
            <w:tcBorders>
              <w:top w:val="nil"/>
              <w:left w:val="nil"/>
              <w:bottom w:val="single" w:color="auto" w:sz="4" w:space="0"/>
              <w:right w:val="single" w:color="auto" w:sz="4" w:space="0"/>
            </w:tcBorders>
            <w:shd w:val="clear" w:color="auto" w:fill="auto"/>
            <w:vAlign w:val="center"/>
          </w:tcPr>
          <w:p w14:paraId="0B5EB8C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42.5%</w:t>
            </w:r>
          </w:p>
        </w:tc>
      </w:tr>
      <w:tr w14:paraId="2596B6DF">
        <w:tblPrEx>
          <w:tblCellMar>
            <w:top w:w="0" w:type="dxa"/>
            <w:left w:w="108" w:type="dxa"/>
            <w:bottom w:w="0" w:type="dxa"/>
            <w:right w:w="108" w:type="dxa"/>
          </w:tblCellMar>
        </w:tblPrEx>
        <w:trPr>
          <w:gridAfter w:val="1"/>
          <w:wAfter w:w="113" w:type="dxa"/>
          <w:cantSplit/>
          <w:trHeight w:val="397" w:hRule="atLeast"/>
          <w:jc w:val="center"/>
        </w:trPr>
        <w:tc>
          <w:tcPr>
            <w:tcW w:w="3946" w:type="dxa"/>
            <w:tcBorders>
              <w:top w:val="nil"/>
              <w:left w:val="single" w:color="auto" w:sz="4" w:space="0"/>
              <w:bottom w:val="single" w:color="auto" w:sz="4" w:space="0"/>
              <w:right w:val="single" w:color="auto" w:sz="4" w:space="0"/>
            </w:tcBorders>
            <w:shd w:val="clear" w:color="auto" w:fill="auto"/>
            <w:vAlign w:val="center"/>
          </w:tcPr>
          <w:p w14:paraId="0194C30B">
            <w:pPr>
              <w:keepNext w:val="0"/>
              <w:keepLines w:val="0"/>
              <w:widowControl/>
              <w:suppressLineNumbers w:val="0"/>
              <w:jc w:val="both"/>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 xml:space="preserve">      土地增值税</w:t>
            </w:r>
          </w:p>
        </w:tc>
        <w:tc>
          <w:tcPr>
            <w:tcW w:w="1732" w:type="dxa"/>
            <w:tcBorders>
              <w:top w:val="nil"/>
              <w:left w:val="nil"/>
              <w:bottom w:val="single" w:color="auto" w:sz="4" w:space="0"/>
              <w:right w:val="single" w:color="auto" w:sz="4" w:space="0"/>
            </w:tcBorders>
            <w:shd w:val="clear" w:color="auto" w:fill="auto"/>
            <w:vAlign w:val="center"/>
          </w:tcPr>
          <w:p w14:paraId="29A625C9">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11000 </w:t>
            </w:r>
          </w:p>
        </w:tc>
        <w:tc>
          <w:tcPr>
            <w:tcW w:w="1535" w:type="dxa"/>
            <w:tcBorders>
              <w:top w:val="nil"/>
              <w:left w:val="nil"/>
              <w:bottom w:val="single" w:color="auto" w:sz="4" w:space="0"/>
              <w:right w:val="single" w:color="auto" w:sz="4" w:space="0"/>
            </w:tcBorders>
            <w:shd w:val="clear" w:color="auto" w:fill="auto"/>
            <w:vAlign w:val="center"/>
          </w:tcPr>
          <w:p w14:paraId="5E6F2C4B">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26136 </w:t>
            </w:r>
          </w:p>
        </w:tc>
        <w:tc>
          <w:tcPr>
            <w:tcW w:w="1594" w:type="dxa"/>
            <w:tcBorders>
              <w:top w:val="nil"/>
              <w:left w:val="nil"/>
              <w:bottom w:val="single" w:color="auto" w:sz="4" w:space="0"/>
              <w:right w:val="single" w:color="auto" w:sz="4" w:space="0"/>
            </w:tcBorders>
            <w:shd w:val="clear" w:color="auto" w:fill="auto"/>
            <w:vAlign w:val="center"/>
          </w:tcPr>
          <w:p w14:paraId="53CF0E3D">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237.6%</w:t>
            </w:r>
          </w:p>
        </w:tc>
      </w:tr>
      <w:tr w14:paraId="2427D98F">
        <w:tblPrEx>
          <w:tblCellMar>
            <w:top w:w="0" w:type="dxa"/>
            <w:left w:w="108" w:type="dxa"/>
            <w:bottom w:w="0" w:type="dxa"/>
            <w:right w:w="108" w:type="dxa"/>
          </w:tblCellMar>
        </w:tblPrEx>
        <w:trPr>
          <w:gridAfter w:val="1"/>
          <w:wAfter w:w="113" w:type="dxa"/>
          <w:cantSplit/>
          <w:trHeight w:val="397" w:hRule="atLeast"/>
          <w:jc w:val="center"/>
        </w:trPr>
        <w:tc>
          <w:tcPr>
            <w:tcW w:w="3946" w:type="dxa"/>
            <w:tcBorders>
              <w:top w:val="nil"/>
              <w:left w:val="single" w:color="auto" w:sz="4" w:space="0"/>
              <w:bottom w:val="single" w:color="auto" w:sz="4" w:space="0"/>
              <w:right w:val="single" w:color="auto" w:sz="4" w:space="0"/>
            </w:tcBorders>
            <w:shd w:val="clear" w:color="auto" w:fill="auto"/>
            <w:vAlign w:val="center"/>
          </w:tcPr>
          <w:p w14:paraId="33DB1CEA">
            <w:pPr>
              <w:keepNext w:val="0"/>
              <w:keepLines w:val="0"/>
              <w:widowControl/>
              <w:suppressLineNumbers w:val="0"/>
              <w:jc w:val="both"/>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 xml:space="preserve">      车船税</w:t>
            </w:r>
          </w:p>
        </w:tc>
        <w:tc>
          <w:tcPr>
            <w:tcW w:w="1732" w:type="dxa"/>
            <w:tcBorders>
              <w:top w:val="nil"/>
              <w:left w:val="nil"/>
              <w:bottom w:val="single" w:color="auto" w:sz="4" w:space="0"/>
              <w:right w:val="single" w:color="auto" w:sz="4" w:space="0"/>
            </w:tcBorders>
            <w:shd w:val="clear" w:color="auto" w:fill="auto"/>
            <w:vAlign w:val="center"/>
          </w:tcPr>
          <w:p w14:paraId="2E35C40F">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3600 </w:t>
            </w:r>
          </w:p>
        </w:tc>
        <w:tc>
          <w:tcPr>
            <w:tcW w:w="1535" w:type="dxa"/>
            <w:tcBorders>
              <w:top w:val="nil"/>
              <w:left w:val="nil"/>
              <w:bottom w:val="single" w:color="auto" w:sz="4" w:space="0"/>
              <w:right w:val="single" w:color="auto" w:sz="4" w:space="0"/>
            </w:tcBorders>
            <w:shd w:val="clear" w:color="auto" w:fill="auto"/>
            <w:vAlign w:val="center"/>
          </w:tcPr>
          <w:p w14:paraId="055FA551">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4007 </w:t>
            </w:r>
          </w:p>
        </w:tc>
        <w:tc>
          <w:tcPr>
            <w:tcW w:w="1594" w:type="dxa"/>
            <w:tcBorders>
              <w:top w:val="nil"/>
              <w:left w:val="nil"/>
              <w:bottom w:val="single" w:color="auto" w:sz="4" w:space="0"/>
              <w:right w:val="single" w:color="auto" w:sz="4" w:space="0"/>
            </w:tcBorders>
            <w:shd w:val="clear" w:color="auto" w:fill="auto"/>
            <w:vAlign w:val="center"/>
          </w:tcPr>
          <w:p w14:paraId="4CF3B0BD">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111.3%</w:t>
            </w:r>
          </w:p>
        </w:tc>
      </w:tr>
      <w:tr w14:paraId="7B9C28B1">
        <w:tblPrEx>
          <w:tblCellMar>
            <w:top w:w="0" w:type="dxa"/>
            <w:left w:w="108" w:type="dxa"/>
            <w:bottom w:w="0" w:type="dxa"/>
            <w:right w:w="108" w:type="dxa"/>
          </w:tblCellMar>
        </w:tblPrEx>
        <w:trPr>
          <w:gridAfter w:val="1"/>
          <w:wAfter w:w="113" w:type="dxa"/>
          <w:cantSplit/>
          <w:trHeight w:val="397" w:hRule="atLeast"/>
          <w:jc w:val="center"/>
        </w:trPr>
        <w:tc>
          <w:tcPr>
            <w:tcW w:w="3946" w:type="dxa"/>
            <w:tcBorders>
              <w:top w:val="nil"/>
              <w:left w:val="single" w:color="auto" w:sz="4" w:space="0"/>
              <w:bottom w:val="single" w:color="auto" w:sz="4" w:space="0"/>
              <w:right w:val="single" w:color="auto" w:sz="4" w:space="0"/>
            </w:tcBorders>
            <w:shd w:val="clear" w:color="auto" w:fill="auto"/>
            <w:vAlign w:val="center"/>
          </w:tcPr>
          <w:p w14:paraId="29B489DD">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      耕地占用税</w:t>
            </w:r>
          </w:p>
        </w:tc>
        <w:tc>
          <w:tcPr>
            <w:tcW w:w="1732" w:type="dxa"/>
            <w:tcBorders>
              <w:top w:val="nil"/>
              <w:left w:val="nil"/>
              <w:bottom w:val="single" w:color="auto" w:sz="4" w:space="0"/>
              <w:right w:val="single" w:color="auto" w:sz="4" w:space="0"/>
            </w:tcBorders>
            <w:shd w:val="clear" w:color="auto" w:fill="auto"/>
            <w:vAlign w:val="center"/>
          </w:tcPr>
          <w:p w14:paraId="7BC70A4F">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3500 </w:t>
            </w:r>
          </w:p>
        </w:tc>
        <w:tc>
          <w:tcPr>
            <w:tcW w:w="1535" w:type="dxa"/>
            <w:tcBorders>
              <w:top w:val="nil"/>
              <w:left w:val="nil"/>
              <w:bottom w:val="single" w:color="auto" w:sz="4" w:space="0"/>
              <w:right w:val="single" w:color="auto" w:sz="4" w:space="0"/>
            </w:tcBorders>
            <w:shd w:val="clear" w:color="auto" w:fill="auto"/>
            <w:vAlign w:val="center"/>
          </w:tcPr>
          <w:p w14:paraId="763ECCE8">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13382 </w:t>
            </w:r>
          </w:p>
        </w:tc>
        <w:tc>
          <w:tcPr>
            <w:tcW w:w="1594" w:type="dxa"/>
            <w:tcBorders>
              <w:top w:val="nil"/>
              <w:left w:val="nil"/>
              <w:bottom w:val="single" w:color="auto" w:sz="4" w:space="0"/>
              <w:right w:val="single" w:color="auto" w:sz="4" w:space="0"/>
            </w:tcBorders>
            <w:shd w:val="clear" w:color="auto" w:fill="auto"/>
            <w:vAlign w:val="center"/>
          </w:tcPr>
          <w:p w14:paraId="328D06C7">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382.3%</w:t>
            </w:r>
          </w:p>
        </w:tc>
      </w:tr>
      <w:tr w14:paraId="43563F58">
        <w:tblPrEx>
          <w:tblCellMar>
            <w:top w:w="0" w:type="dxa"/>
            <w:left w:w="108" w:type="dxa"/>
            <w:bottom w:w="0" w:type="dxa"/>
            <w:right w:w="108" w:type="dxa"/>
          </w:tblCellMar>
        </w:tblPrEx>
        <w:trPr>
          <w:gridAfter w:val="1"/>
          <w:wAfter w:w="113" w:type="dxa"/>
          <w:cantSplit/>
          <w:trHeight w:val="397" w:hRule="atLeast"/>
          <w:jc w:val="center"/>
        </w:trPr>
        <w:tc>
          <w:tcPr>
            <w:tcW w:w="3946" w:type="dxa"/>
            <w:tcBorders>
              <w:top w:val="nil"/>
              <w:left w:val="single" w:color="auto" w:sz="4" w:space="0"/>
              <w:bottom w:val="single" w:color="auto" w:sz="4" w:space="0"/>
              <w:right w:val="single" w:color="auto" w:sz="4" w:space="0"/>
            </w:tcBorders>
            <w:shd w:val="clear" w:color="auto" w:fill="auto"/>
            <w:vAlign w:val="center"/>
          </w:tcPr>
          <w:p w14:paraId="548FF619">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      契税</w:t>
            </w:r>
          </w:p>
        </w:tc>
        <w:tc>
          <w:tcPr>
            <w:tcW w:w="1732" w:type="dxa"/>
            <w:tcBorders>
              <w:top w:val="nil"/>
              <w:left w:val="nil"/>
              <w:bottom w:val="single" w:color="auto" w:sz="4" w:space="0"/>
              <w:right w:val="single" w:color="auto" w:sz="4" w:space="0"/>
            </w:tcBorders>
            <w:shd w:val="clear" w:color="auto" w:fill="auto"/>
            <w:vAlign w:val="center"/>
          </w:tcPr>
          <w:p w14:paraId="347C187C">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13000 </w:t>
            </w:r>
          </w:p>
        </w:tc>
        <w:tc>
          <w:tcPr>
            <w:tcW w:w="1535" w:type="dxa"/>
            <w:tcBorders>
              <w:top w:val="nil"/>
              <w:left w:val="nil"/>
              <w:bottom w:val="single" w:color="auto" w:sz="4" w:space="0"/>
              <w:right w:val="single" w:color="auto" w:sz="4" w:space="0"/>
            </w:tcBorders>
            <w:shd w:val="clear" w:color="auto" w:fill="auto"/>
            <w:vAlign w:val="center"/>
          </w:tcPr>
          <w:p w14:paraId="338D650B">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10431 </w:t>
            </w:r>
          </w:p>
        </w:tc>
        <w:tc>
          <w:tcPr>
            <w:tcW w:w="1594" w:type="dxa"/>
            <w:tcBorders>
              <w:top w:val="nil"/>
              <w:left w:val="nil"/>
              <w:bottom w:val="single" w:color="auto" w:sz="4" w:space="0"/>
              <w:right w:val="single" w:color="auto" w:sz="4" w:space="0"/>
            </w:tcBorders>
            <w:shd w:val="clear" w:color="auto" w:fill="auto"/>
            <w:vAlign w:val="center"/>
          </w:tcPr>
          <w:p w14:paraId="7D5684A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80.2%</w:t>
            </w:r>
          </w:p>
        </w:tc>
      </w:tr>
      <w:tr w14:paraId="66118921">
        <w:tblPrEx>
          <w:tblCellMar>
            <w:top w:w="0" w:type="dxa"/>
            <w:left w:w="108" w:type="dxa"/>
            <w:bottom w:w="0" w:type="dxa"/>
            <w:right w:w="108" w:type="dxa"/>
          </w:tblCellMar>
        </w:tblPrEx>
        <w:trPr>
          <w:gridAfter w:val="1"/>
          <w:wAfter w:w="113" w:type="dxa"/>
          <w:cantSplit/>
          <w:trHeight w:val="397" w:hRule="atLeast"/>
          <w:jc w:val="center"/>
        </w:trPr>
        <w:tc>
          <w:tcPr>
            <w:tcW w:w="3946" w:type="dxa"/>
            <w:tcBorders>
              <w:top w:val="nil"/>
              <w:left w:val="single" w:color="auto" w:sz="4" w:space="0"/>
              <w:bottom w:val="single" w:color="auto" w:sz="4" w:space="0"/>
              <w:right w:val="single" w:color="auto" w:sz="4" w:space="0"/>
            </w:tcBorders>
            <w:shd w:val="clear" w:color="auto" w:fill="auto"/>
            <w:vAlign w:val="center"/>
          </w:tcPr>
          <w:p w14:paraId="6A9BC890">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      烟叶税</w:t>
            </w:r>
          </w:p>
        </w:tc>
        <w:tc>
          <w:tcPr>
            <w:tcW w:w="1732" w:type="dxa"/>
            <w:tcBorders>
              <w:top w:val="nil"/>
              <w:left w:val="nil"/>
              <w:bottom w:val="single" w:color="auto" w:sz="4" w:space="0"/>
              <w:right w:val="single" w:color="auto" w:sz="4" w:space="0"/>
            </w:tcBorders>
            <w:shd w:val="clear" w:color="auto" w:fill="auto"/>
            <w:vAlign w:val="center"/>
          </w:tcPr>
          <w:p w14:paraId="69C32D61">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1000 </w:t>
            </w:r>
          </w:p>
        </w:tc>
        <w:tc>
          <w:tcPr>
            <w:tcW w:w="1535" w:type="dxa"/>
            <w:tcBorders>
              <w:top w:val="nil"/>
              <w:left w:val="nil"/>
              <w:bottom w:val="single" w:color="auto" w:sz="4" w:space="0"/>
              <w:right w:val="single" w:color="auto" w:sz="4" w:space="0"/>
            </w:tcBorders>
            <w:shd w:val="clear" w:color="auto" w:fill="auto"/>
            <w:vAlign w:val="center"/>
          </w:tcPr>
          <w:p w14:paraId="0763F401">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910 </w:t>
            </w:r>
          </w:p>
        </w:tc>
        <w:tc>
          <w:tcPr>
            <w:tcW w:w="1594" w:type="dxa"/>
            <w:tcBorders>
              <w:top w:val="nil"/>
              <w:left w:val="nil"/>
              <w:bottom w:val="single" w:color="auto" w:sz="4" w:space="0"/>
              <w:right w:val="single" w:color="auto" w:sz="4" w:space="0"/>
            </w:tcBorders>
            <w:shd w:val="clear" w:color="auto" w:fill="auto"/>
            <w:vAlign w:val="center"/>
          </w:tcPr>
          <w:p w14:paraId="41B6836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91%</w:t>
            </w:r>
          </w:p>
        </w:tc>
      </w:tr>
      <w:tr w14:paraId="33021AD7">
        <w:tblPrEx>
          <w:tblCellMar>
            <w:top w:w="0" w:type="dxa"/>
            <w:left w:w="108" w:type="dxa"/>
            <w:bottom w:w="0" w:type="dxa"/>
            <w:right w:w="108" w:type="dxa"/>
          </w:tblCellMar>
        </w:tblPrEx>
        <w:trPr>
          <w:gridAfter w:val="1"/>
          <w:wAfter w:w="113" w:type="dxa"/>
          <w:cantSplit/>
          <w:trHeight w:val="397" w:hRule="atLeast"/>
          <w:jc w:val="center"/>
        </w:trPr>
        <w:tc>
          <w:tcPr>
            <w:tcW w:w="3946" w:type="dxa"/>
            <w:tcBorders>
              <w:top w:val="nil"/>
              <w:left w:val="single" w:color="auto" w:sz="4" w:space="0"/>
              <w:bottom w:val="single" w:color="auto" w:sz="4" w:space="0"/>
              <w:right w:val="single" w:color="auto" w:sz="4" w:space="0"/>
            </w:tcBorders>
            <w:shd w:val="clear" w:color="auto" w:fill="auto"/>
            <w:vAlign w:val="center"/>
          </w:tcPr>
          <w:p w14:paraId="55F3148D">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      环境保护税</w:t>
            </w:r>
          </w:p>
        </w:tc>
        <w:tc>
          <w:tcPr>
            <w:tcW w:w="1732" w:type="dxa"/>
            <w:tcBorders>
              <w:top w:val="nil"/>
              <w:left w:val="nil"/>
              <w:bottom w:val="single" w:color="auto" w:sz="4" w:space="0"/>
              <w:right w:val="single" w:color="auto" w:sz="4" w:space="0"/>
            </w:tcBorders>
            <w:shd w:val="clear" w:color="auto" w:fill="auto"/>
            <w:vAlign w:val="center"/>
          </w:tcPr>
          <w:p w14:paraId="19B73CF3">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5000 </w:t>
            </w:r>
          </w:p>
        </w:tc>
        <w:tc>
          <w:tcPr>
            <w:tcW w:w="1535" w:type="dxa"/>
            <w:tcBorders>
              <w:top w:val="nil"/>
              <w:left w:val="nil"/>
              <w:bottom w:val="single" w:color="auto" w:sz="4" w:space="0"/>
              <w:right w:val="single" w:color="auto" w:sz="4" w:space="0"/>
            </w:tcBorders>
            <w:shd w:val="clear" w:color="auto" w:fill="auto"/>
            <w:vAlign w:val="center"/>
          </w:tcPr>
          <w:p w14:paraId="3EE8283D">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2801 </w:t>
            </w:r>
          </w:p>
        </w:tc>
        <w:tc>
          <w:tcPr>
            <w:tcW w:w="1594" w:type="dxa"/>
            <w:tcBorders>
              <w:top w:val="nil"/>
              <w:left w:val="nil"/>
              <w:bottom w:val="single" w:color="auto" w:sz="4" w:space="0"/>
              <w:right w:val="single" w:color="auto" w:sz="4" w:space="0"/>
            </w:tcBorders>
            <w:shd w:val="clear" w:color="auto" w:fill="auto"/>
            <w:vAlign w:val="center"/>
          </w:tcPr>
          <w:p w14:paraId="69FE15C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56%</w:t>
            </w:r>
          </w:p>
        </w:tc>
      </w:tr>
      <w:tr w14:paraId="0274C7D2">
        <w:tblPrEx>
          <w:tblCellMar>
            <w:top w:w="0" w:type="dxa"/>
            <w:left w:w="108" w:type="dxa"/>
            <w:bottom w:w="0" w:type="dxa"/>
            <w:right w:w="108" w:type="dxa"/>
          </w:tblCellMar>
        </w:tblPrEx>
        <w:trPr>
          <w:gridAfter w:val="1"/>
          <w:wAfter w:w="113" w:type="dxa"/>
          <w:cantSplit/>
          <w:trHeight w:val="397" w:hRule="atLeast"/>
          <w:jc w:val="center"/>
        </w:trPr>
        <w:tc>
          <w:tcPr>
            <w:tcW w:w="3946" w:type="dxa"/>
            <w:tcBorders>
              <w:top w:val="nil"/>
              <w:left w:val="single" w:color="auto" w:sz="4" w:space="0"/>
              <w:bottom w:val="single" w:color="auto" w:sz="4" w:space="0"/>
              <w:right w:val="single" w:color="auto" w:sz="4" w:space="0"/>
            </w:tcBorders>
            <w:shd w:val="clear" w:color="auto" w:fill="auto"/>
            <w:vAlign w:val="center"/>
          </w:tcPr>
          <w:p w14:paraId="630A9570">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      其他税收收入</w:t>
            </w:r>
          </w:p>
        </w:tc>
        <w:tc>
          <w:tcPr>
            <w:tcW w:w="1732" w:type="dxa"/>
            <w:tcBorders>
              <w:top w:val="nil"/>
              <w:left w:val="nil"/>
              <w:bottom w:val="single" w:color="auto" w:sz="4" w:space="0"/>
              <w:right w:val="single" w:color="auto" w:sz="4" w:space="0"/>
            </w:tcBorders>
            <w:shd w:val="clear" w:color="auto" w:fill="auto"/>
            <w:vAlign w:val="center"/>
          </w:tcPr>
          <w:p w14:paraId="5F6D905D">
            <w:pPr>
              <w:jc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sz w:val="24"/>
                <w:szCs w:val="24"/>
              </w:rPr>
              <w:t>—</w:t>
            </w:r>
          </w:p>
        </w:tc>
        <w:tc>
          <w:tcPr>
            <w:tcW w:w="1535" w:type="dxa"/>
            <w:tcBorders>
              <w:top w:val="nil"/>
              <w:left w:val="nil"/>
              <w:bottom w:val="single" w:color="auto" w:sz="4" w:space="0"/>
              <w:right w:val="single" w:color="auto" w:sz="4" w:space="0"/>
            </w:tcBorders>
            <w:shd w:val="clear" w:color="auto" w:fill="auto"/>
            <w:vAlign w:val="center"/>
          </w:tcPr>
          <w:p w14:paraId="22B21CE5">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sz w:val="24"/>
                <w:szCs w:val="24"/>
              </w:rPr>
              <w:t>—</w:t>
            </w:r>
          </w:p>
        </w:tc>
        <w:tc>
          <w:tcPr>
            <w:tcW w:w="1594" w:type="dxa"/>
            <w:tcBorders>
              <w:top w:val="nil"/>
              <w:left w:val="nil"/>
              <w:bottom w:val="single" w:color="auto" w:sz="4" w:space="0"/>
              <w:right w:val="single" w:color="auto" w:sz="4" w:space="0"/>
            </w:tcBorders>
            <w:shd w:val="clear" w:color="auto" w:fill="auto"/>
            <w:vAlign w:val="center"/>
          </w:tcPr>
          <w:p w14:paraId="3B339089">
            <w:pPr>
              <w:keepNext w:val="0"/>
              <w:keepLines w:val="0"/>
              <w:widowControl/>
              <w:suppressLineNumbers w:val="0"/>
              <w:jc w:val="center"/>
              <w:textAlignment w:val="center"/>
              <w:rPr>
                <w:rFonts w:hint="eastAsia" w:ascii="宋体" w:hAnsi="宋体" w:eastAsia="宋体" w:cs="宋体"/>
                <w:color w:val="000000"/>
                <w:sz w:val="22"/>
                <w:szCs w:val="22"/>
              </w:rPr>
            </w:pPr>
            <w:r>
              <w:rPr>
                <w:rFonts w:ascii="宋体" w:hAnsi="宋体" w:eastAsia="宋体" w:cs="宋体"/>
                <w:sz w:val="24"/>
                <w:szCs w:val="24"/>
              </w:rPr>
              <w:t>—</w:t>
            </w:r>
          </w:p>
        </w:tc>
      </w:tr>
      <w:tr w14:paraId="23DD79CA">
        <w:tblPrEx>
          <w:tblCellMar>
            <w:top w:w="0" w:type="dxa"/>
            <w:left w:w="108" w:type="dxa"/>
            <w:bottom w:w="0" w:type="dxa"/>
            <w:right w:w="108" w:type="dxa"/>
          </w:tblCellMar>
        </w:tblPrEx>
        <w:trPr>
          <w:gridAfter w:val="1"/>
          <w:wAfter w:w="113" w:type="dxa"/>
          <w:cantSplit/>
          <w:trHeight w:val="397" w:hRule="atLeast"/>
          <w:jc w:val="center"/>
        </w:trPr>
        <w:tc>
          <w:tcPr>
            <w:tcW w:w="3946" w:type="dxa"/>
            <w:tcBorders>
              <w:top w:val="nil"/>
              <w:left w:val="single" w:color="auto" w:sz="4" w:space="0"/>
              <w:bottom w:val="single" w:color="auto" w:sz="4" w:space="0"/>
              <w:right w:val="single" w:color="auto" w:sz="4" w:space="0"/>
            </w:tcBorders>
            <w:shd w:val="clear" w:color="auto" w:fill="auto"/>
            <w:vAlign w:val="center"/>
          </w:tcPr>
          <w:p w14:paraId="1CD83578">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非税收入</w:t>
            </w:r>
          </w:p>
        </w:tc>
        <w:tc>
          <w:tcPr>
            <w:tcW w:w="1732" w:type="dxa"/>
            <w:tcBorders>
              <w:top w:val="nil"/>
              <w:left w:val="nil"/>
              <w:bottom w:val="single" w:color="auto" w:sz="4" w:space="0"/>
              <w:right w:val="single" w:color="auto" w:sz="4" w:space="0"/>
            </w:tcBorders>
            <w:shd w:val="clear" w:color="auto" w:fill="auto"/>
            <w:vAlign w:val="center"/>
          </w:tcPr>
          <w:p w14:paraId="5DCCCB5D">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50000</w:t>
            </w:r>
          </w:p>
        </w:tc>
        <w:tc>
          <w:tcPr>
            <w:tcW w:w="1535" w:type="dxa"/>
            <w:tcBorders>
              <w:top w:val="nil"/>
              <w:left w:val="nil"/>
              <w:bottom w:val="single" w:color="auto" w:sz="4" w:space="0"/>
              <w:right w:val="single" w:color="auto" w:sz="4" w:space="0"/>
            </w:tcBorders>
            <w:shd w:val="clear" w:color="auto" w:fill="auto"/>
            <w:vAlign w:val="center"/>
          </w:tcPr>
          <w:p w14:paraId="1CC30568">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53256</w:t>
            </w:r>
          </w:p>
        </w:tc>
        <w:tc>
          <w:tcPr>
            <w:tcW w:w="1594" w:type="dxa"/>
            <w:tcBorders>
              <w:top w:val="nil"/>
              <w:left w:val="nil"/>
              <w:bottom w:val="single" w:color="auto" w:sz="4" w:space="0"/>
              <w:right w:val="single" w:color="auto" w:sz="4" w:space="0"/>
            </w:tcBorders>
            <w:shd w:val="clear" w:color="auto" w:fill="auto"/>
            <w:vAlign w:val="center"/>
          </w:tcPr>
          <w:p w14:paraId="73820D0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106.5%</w:t>
            </w:r>
          </w:p>
        </w:tc>
      </w:tr>
      <w:tr w14:paraId="76673BDA">
        <w:tblPrEx>
          <w:tblCellMar>
            <w:top w:w="0" w:type="dxa"/>
            <w:left w:w="108" w:type="dxa"/>
            <w:bottom w:w="0" w:type="dxa"/>
            <w:right w:w="108" w:type="dxa"/>
          </w:tblCellMar>
        </w:tblPrEx>
        <w:trPr>
          <w:gridAfter w:val="1"/>
          <w:wAfter w:w="113" w:type="dxa"/>
          <w:cantSplit/>
          <w:trHeight w:val="397" w:hRule="atLeast"/>
          <w:jc w:val="center"/>
        </w:trPr>
        <w:tc>
          <w:tcPr>
            <w:tcW w:w="3946" w:type="dxa"/>
            <w:tcBorders>
              <w:top w:val="nil"/>
              <w:left w:val="single" w:color="auto" w:sz="4" w:space="0"/>
              <w:bottom w:val="single" w:color="auto" w:sz="4" w:space="0"/>
              <w:right w:val="single" w:color="auto" w:sz="4" w:space="0"/>
            </w:tcBorders>
            <w:shd w:val="clear" w:color="auto" w:fill="auto"/>
            <w:vAlign w:val="center"/>
          </w:tcPr>
          <w:p w14:paraId="147CB2B7">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      专项收入</w:t>
            </w:r>
          </w:p>
        </w:tc>
        <w:tc>
          <w:tcPr>
            <w:tcW w:w="1732" w:type="dxa"/>
            <w:tcBorders>
              <w:top w:val="nil"/>
              <w:left w:val="nil"/>
              <w:bottom w:val="single" w:color="auto" w:sz="4" w:space="0"/>
              <w:right w:val="single" w:color="auto" w:sz="4" w:space="0"/>
            </w:tcBorders>
            <w:shd w:val="clear" w:color="auto" w:fill="auto"/>
            <w:vAlign w:val="center"/>
          </w:tcPr>
          <w:p w14:paraId="0286D38C">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7000</w:t>
            </w:r>
          </w:p>
        </w:tc>
        <w:tc>
          <w:tcPr>
            <w:tcW w:w="1535" w:type="dxa"/>
            <w:tcBorders>
              <w:top w:val="nil"/>
              <w:left w:val="nil"/>
              <w:bottom w:val="single" w:color="auto" w:sz="4" w:space="0"/>
              <w:right w:val="single" w:color="auto" w:sz="4" w:space="0"/>
            </w:tcBorders>
            <w:shd w:val="clear" w:color="auto" w:fill="auto"/>
            <w:vAlign w:val="center"/>
          </w:tcPr>
          <w:p w14:paraId="04A4E744">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6144</w:t>
            </w:r>
          </w:p>
        </w:tc>
        <w:tc>
          <w:tcPr>
            <w:tcW w:w="1594" w:type="dxa"/>
            <w:tcBorders>
              <w:top w:val="nil"/>
              <w:left w:val="nil"/>
              <w:bottom w:val="single" w:color="auto" w:sz="4" w:space="0"/>
              <w:right w:val="single" w:color="auto" w:sz="4" w:space="0"/>
            </w:tcBorders>
            <w:shd w:val="clear" w:color="auto" w:fill="auto"/>
            <w:vAlign w:val="center"/>
          </w:tcPr>
          <w:p w14:paraId="33B46C5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87.8%</w:t>
            </w:r>
          </w:p>
        </w:tc>
      </w:tr>
      <w:tr w14:paraId="73E0BA5E">
        <w:tblPrEx>
          <w:tblCellMar>
            <w:top w:w="0" w:type="dxa"/>
            <w:left w:w="108" w:type="dxa"/>
            <w:bottom w:w="0" w:type="dxa"/>
            <w:right w:w="108" w:type="dxa"/>
          </w:tblCellMar>
        </w:tblPrEx>
        <w:trPr>
          <w:gridAfter w:val="1"/>
          <w:wAfter w:w="113" w:type="dxa"/>
          <w:cantSplit/>
          <w:trHeight w:val="397" w:hRule="atLeast"/>
          <w:jc w:val="center"/>
        </w:trPr>
        <w:tc>
          <w:tcPr>
            <w:tcW w:w="3946" w:type="dxa"/>
            <w:tcBorders>
              <w:top w:val="nil"/>
              <w:left w:val="single" w:color="auto" w:sz="4" w:space="0"/>
              <w:bottom w:val="single" w:color="auto" w:sz="4" w:space="0"/>
              <w:right w:val="single" w:color="auto" w:sz="4" w:space="0"/>
            </w:tcBorders>
            <w:shd w:val="clear" w:color="auto" w:fill="auto"/>
            <w:vAlign w:val="center"/>
          </w:tcPr>
          <w:p w14:paraId="2718A0BA">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      行政事业性收费收入</w:t>
            </w:r>
          </w:p>
        </w:tc>
        <w:tc>
          <w:tcPr>
            <w:tcW w:w="1732" w:type="dxa"/>
            <w:tcBorders>
              <w:top w:val="nil"/>
              <w:left w:val="nil"/>
              <w:bottom w:val="single" w:color="auto" w:sz="4" w:space="0"/>
              <w:right w:val="single" w:color="auto" w:sz="4" w:space="0"/>
            </w:tcBorders>
            <w:shd w:val="clear" w:color="auto" w:fill="auto"/>
            <w:vAlign w:val="center"/>
          </w:tcPr>
          <w:p w14:paraId="5FA5A48D">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3200</w:t>
            </w:r>
          </w:p>
        </w:tc>
        <w:tc>
          <w:tcPr>
            <w:tcW w:w="1535" w:type="dxa"/>
            <w:tcBorders>
              <w:top w:val="nil"/>
              <w:left w:val="nil"/>
              <w:bottom w:val="single" w:color="auto" w:sz="4" w:space="0"/>
              <w:right w:val="single" w:color="auto" w:sz="4" w:space="0"/>
            </w:tcBorders>
            <w:shd w:val="clear" w:color="auto" w:fill="auto"/>
            <w:vAlign w:val="center"/>
          </w:tcPr>
          <w:p w14:paraId="3B045BFB">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4311</w:t>
            </w:r>
          </w:p>
        </w:tc>
        <w:tc>
          <w:tcPr>
            <w:tcW w:w="1594" w:type="dxa"/>
            <w:tcBorders>
              <w:top w:val="nil"/>
              <w:left w:val="nil"/>
              <w:bottom w:val="single" w:color="auto" w:sz="4" w:space="0"/>
              <w:right w:val="single" w:color="auto" w:sz="4" w:space="0"/>
            </w:tcBorders>
            <w:shd w:val="clear" w:color="auto" w:fill="auto"/>
            <w:vAlign w:val="center"/>
          </w:tcPr>
          <w:p w14:paraId="553DFDC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134.7%</w:t>
            </w:r>
          </w:p>
        </w:tc>
      </w:tr>
      <w:tr w14:paraId="20D45D1E">
        <w:tblPrEx>
          <w:tblCellMar>
            <w:top w:w="0" w:type="dxa"/>
            <w:left w:w="108" w:type="dxa"/>
            <w:bottom w:w="0" w:type="dxa"/>
            <w:right w:w="108" w:type="dxa"/>
          </w:tblCellMar>
        </w:tblPrEx>
        <w:trPr>
          <w:gridAfter w:val="1"/>
          <w:wAfter w:w="113" w:type="dxa"/>
          <w:cantSplit/>
          <w:trHeight w:val="397" w:hRule="atLeast"/>
          <w:jc w:val="center"/>
        </w:trPr>
        <w:tc>
          <w:tcPr>
            <w:tcW w:w="3946" w:type="dxa"/>
            <w:tcBorders>
              <w:top w:val="nil"/>
              <w:left w:val="single" w:color="auto" w:sz="4" w:space="0"/>
              <w:bottom w:val="single" w:color="auto" w:sz="4" w:space="0"/>
              <w:right w:val="single" w:color="auto" w:sz="4" w:space="0"/>
            </w:tcBorders>
            <w:shd w:val="clear" w:color="auto" w:fill="auto"/>
            <w:vAlign w:val="center"/>
          </w:tcPr>
          <w:p w14:paraId="1A4AB62B">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      罚没收入</w:t>
            </w:r>
          </w:p>
        </w:tc>
        <w:tc>
          <w:tcPr>
            <w:tcW w:w="1732" w:type="dxa"/>
            <w:tcBorders>
              <w:top w:val="nil"/>
              <w:left w:val="nil"/>
              <w:bottom w:val="single" w:color="auto" w:sz="4" w:space="0"/>
              <w:right w:val="single" w:color="auto" w:sz="4" w:space="0"/>
            </w:tcBorders>
            <w:shd w:val="clear" w:color="auto" w:fill="auto"/>
            <w:vAlign w:val="center"/>
          </w:tcPr>
          <w:p w14:paraId="7D182102">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3300</w:t>
            </w:r>
          </w:p>
        </w:tc>
        <w:tc>
          <w:tcPr>
            <w:tcW w:w="1535" w:type="dxa"/>
            <w:tcBorders>
              <w:top w:val="nil"/>
              <w:left w:val="nil"/>
              <w:bottom w:val="single" w:color="auto" w:sz="4" w:space="0"/>
              <w:right w:val="single" w:color="auto" w:sz="4" w:space="0"/>
            </w:tcBorders>
            <w:shd w:val="clear" w:color="auto" w:fill="auto"/>
            <w:vAlign w:val="center"/>
          </w:tcPr>
          <w:p w14:paraId="20A6D76D">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4559</w:t>
            </w:r>
          </w:p>
        </w:tc>
        <w:tc>
          <w:tcPr>
            <w:tcW w:w="1594" w:type="dxa"/>
            <w:tcBorders>
              <w:top w:val="nil"/>
              <w:left w:val="nil"/>
              <w:bottom w:val="single" w:color="auto" w:sz="4" w:space="0"/>
              <w:right w:val="single" w:color="auto" w:sz="4" w:space="0"/>
            </w:tcBorders>
            <w:shd w:val="clear" w:color="auto" w:fill="auto"/>
            <w:vAlign w:val="center"/>
          </w:tcPr>
          <w:p w14:paraId="36ED8E8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138.2%</w:t>
            </w:r>
          </w:p>
        </w:tc>
      </w:tr>
      <w:tr w14:paraId="5BF7F2BC">
        <w:tblPrEx>
          <w:tblCellMar>
            <w:top w:w="0" w:type="dxa"/>
            <w:left w:w="108" w:type="dxa"/>
            <w:bottom w:w="0" w:type="dxa"/>
            <w:right w:w="108" w:type="dxa"/>
          </w:tblCellMar>
        </w:tblPrEx>
        <w:trPr>
          <w:gridAfter w:val="1"/>
          <w:wAfter w:w="113" w:type="dxa"/>
          <w:cantSplit/>
          <w:trHeight w:val="397" w:hRule="atLeast"/>
          <w:jc w:val="center"/>
        </w:trPr>
        <w:tc>
          <w:tcPr>
            <w:tcW w:w="3946" w:type="dxa"/>
            <w:tcBorders>
              <w:top w:val="nil"/>
              <w:left w:val="single" w:color="auto" w:sz="4" w:space="0"/>
              <w:bottom w:val="single" w:color="auto" w:sz="4" w:space="0"/>
              <w:right w:val="single" w:color="auto" w:sz="4" w:space="0"/>
            </w:tcBorders>
            <w:shd w:val="clear" w:color="auto" w:fill="auto"/>
            <w:vAlign w:val="center"/>
          </w:tcPr>
          <w:p w14:paraId="7E3BACF7">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  国有资源(资产)有偿使用收入</w:t>
            </w:r>
          </w:p>
        </w:tc>
        <w:tc>
          <w:tcPr>
            <w:tcW w:w="1732" w:type="dxa"/>
            <w:tcBorders>
              <w:top w:val="nil"/>
              <w:left w:val="nil"/>
              <w:bottom w:val="single" w:color="auto" w:sz="4" w:space="0"/>
              <w:right w:val="single" w:color="auto" w:sz="4" w:space="0"/>
            </w:tcBorders>
            <w:shd w:val="clear" w:color="auto" w:fill="auto"/>
            <w:vAlign w:val="center"/>
          </w:tcPr>
          <w:p w14:paraId="07ED4489">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32000</w:t>
            </w:r>
          </w:p>
        </w:tc>
        <w:tc>
          <w:tcPr>
            <w:tcW w:w="1535" w:type="dxa"/>
            <w:tcBorders>
              <w:top w:val="nil"/>
              <w:left w:val="nil"/>
              <w:bottom w:val="single" w:color="auto" w:sz="4" w:space="0"/>
              <w:right w:val="single" w:color="auto" w:sz="4" w:space="0"/>
            </w:tcBorders>
            <w:shd w:val="clear" w:color="auto" w:fill="auto"/>
            <w:vAlign w:val="center"/>
          </w:tcPr>
          <w:p w14:paraId="0CFD8322">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27426</w:t>
            </w:r>
          </w:p>
        </w:tc>
        <w:tc>
          <w:tcPr>
            <w:tcW w:w="1594" w:type="dxa"/>
            <w:tcBorders>
              <w:top w:val="nil"/>
              <w:left w:val="nil"/>
              <w:bottom w:val="single" w:color="auto" w:sz="4" w:space="0"/>
              <w:right w:val="single" w:color="auto" w:sz="4" w:space="0"/>
            </w:tcBorders>
            <w:shd w:val="clear" w:color="auto" w:fill="auto"/>
            <w:vAlign w:val="center"/>
          </w:tcPr>
          <w:p w14:paraId="1167FF1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85.7%</w:t>
            </w:r>
          </w:p>
        </w:tc>
      </w:tr>
      <w:tr w14:paraId="09BDB81A">
        <w:tblPrEx>
          <w:tblCellMar>
            <w:top w:w="0" w:type="dxa"/>
            <w:left w:w="108" w:type="dxa"/>
            <w:bottom w:w="0" w:type="dxa"/>
            <w:right w:w="108" w:type="dxa"/>
          </w:tblCellMar>
        </w:tblPrEx>
        <w:trPr>
          <w:gridAfter w:val="1"/>
          <w:wAfter w:w="113" w:type="dxa"/>
          <w:cantSplit/>
          <w:trHeight w:val="397" w:hRule="atLeast"/>
          <w:jc w:val="center"/>
        </w:trPr>
        <w:tc>
          <w:tcPr>
            <w:tcW w:w="3946" w:type="dxa"/>
            <w:tcBorders>
              <w:top w:val="nil"/>
              <w:left w:val="single" w:color="auto" w:sz="4" w:space="0"/>
              <w:bottom w:val="single" w:color="auto" w:sz="4" w:space="0"/>
              <w:right w:val="single" w:color="auto" w:sz="4" w:space="0"/>
            </w:tcBorders>
            <w:shd w:val="clear" w:color="auto" w:fill="auto"/>
            <w:vAlign w:val="center"/>
          </w:tcPr>
          <w:p w14:paraId="18D0263B">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      捐赠收入</w:t>
            </w:r>
          </w:p>
        </w:tc>
        <w:tc>
          <w:tcPr>
            <w:tcW w:w="1732" w:type="dxa"/>
            <w:tcBorders>
              <w:top w:val="nil"/>
              <w:left w:val="nil"/>
              <w:bottom w:val="single" w:color="auto" w:sz="4" w:space="0"/>
              <w:right w:val="single" w:color="auto" w:sz="4" w:space="0"/>
            </w:tcBorders>
            <w:shd w:val="clear" w:color="auto" w:fill="auto"/>
            <w:vAlign w:val="center"/>
          </w:tcPr>
          <w:p w14:paraId="28E2C5FD">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ascii="宋体" w:hAnsi="宋体" w:eastAsia="宋体" w:cs="宋体"/>
                <w:sz w:val="24"/>
                <w:szCs w:val="24"/>
              </w:rPr>
              <w:t>—</w:t>
            </w:r>
          </w:p>
        </w:tc>
        <w:tc>
          <w:tcPr>
            <w:tcW w:w="1535" w:type="dxa"/>
            <w:tcBorders>
              <w:top w:val="nil"/>
              <w:left w:val="nil"/>
              <w:bottom w:val="single" w:color="auto" w:sz="4" w:space="0"/>
              <w:right w:val="single" w:color="auto" w:sz="4" w:space="0"/>
            </w:tcBorders>
            <w:shd w:val="clear" w:color="auto" w:fill="auto"/>
            <w:vAlign w:val="center"/>
          </w:tcPr>
          <w:p w14:paraId="7CFFDF5B">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130</w:t>
            </w:r>
          </w:p>
        </w:tc>
        <w:tc>
          <w:tcPr>
            <w:tcW w:w="1594" w:type="dxa"/>
            <w:tcBorders>
              <w:top w:val="nil"/>
              <w:left w:val="nil"/>
              <w:bottom w:val="single" w:color="auto" w:sz="4" w:space="0"/>
              <w:right w:val="single" w:color="auto" w:sz="4" w:space="0"/>
            </w:tcBorders>
            <w:shd w:val="clear" w:color="auto" w:fill="auto"/>
            <w:vAlign w:val="center"/>
          </w:tcPr>
          <w:p w14:paraId="18D595C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宋体" w:hAnsi="宋体" w:eastAsia="宋体" w:cs="宋体"/>
                <w:sz w:val="24"/>
                <w:szCs w:val="24"/>
              </w:rPr>
              <w:t>—</w:t>
            </w:r>
          </w:p>
        </w:tc>
      </w:tr>
      <w:tr w14:paraId="6CF265B3">
        <w:tblPrEx>
          <w:tblCellMar>
            <w:top w:w="0" w:type="dxa"/>
            <w:left w:w="108" w:type="dxa"/>
            <w:bottom w:w="0" w:type="dxa"/>
            <w:right w:w="108" w:type="dxa"/>
          </w:tblCellMar>
        </w:tblPrEx>
        <w:trPr>
          <w:gridAfter w:val="1"/>
          <w:wAfter w:w="113" w:type="dxa"/>
          <w:cantSplit/>
          <w:trHeight w:val="397" w:hRule="atLeast"/>
          <w:jc w:val="center"/>
        </w:trPr>
        <w:tc>
          <w:tcPr>
            <w:tcW w:w="3946" w:type="dxa"/>
            <w:tcBorders>
              <w:top w:val="nil"/>
              <w:left w:val="single" w:color="auto" w:sz="4" w:space="0"/>
              <w:bottom w:val="single" w:color="auto" w:sz="4" w:space="0"/>
              <w:right w:val="single" w:color="auto" w:sz="4" w:space="0"/>
            </w:tcBorders>
            <w:shd w:val="clear" w:color="auto" w:fill="auto"/>
            <w:vAlign w:val="center"/>
          </w:tcPr>
          <w:p w14:paraId="51A79E68">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      政府住房基金收入</w:t>
            </w:r>
          </w:p>
        </w:tc>
        <w:tc>
          <w:tcPr>
            <w:tcW w:w="1732" w:type="dxa"/>
            <w:tcBorders>
              <w:top w:val="nil"/>
              <w:left w:val="nil"/>
              <w:bottom w:val="single" w:color="auto" w:sz="4" w:space="0"/>
              <w:right w:val="single" w:color="auto" w:sz="4" w:space="0"/>
            </w:tcBorders>
            <w:shd w:val="clear" w:color="auto" w:fill="auto"/>
            <w:vAlign w:val="center"/>
          </w:tcPr>
          <w:p w14:paraId="3EB66AC7">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75</w:t>
            </w:r>
          </w:p>
        </w:tc>
        <w:tc>
          <w:tcPr>
            <w:tcW w:w="1535" w:type="dxa"/>
            <w:tcBorders>
              <w:top w:val="nil"/>
              <w:left w:val="nil"/>
              <w:bottom w:val="single" w:color="auto" w:sz="4" w:space="0"/>
              <w:right w:val="single" w:color="auto" w:sz="4" w:space="0"/>
            </w:tcBorders>
            <w:shd w:val="clear" w:color="auto" w:fill="auto"/>
            <w:vAlign w:val="center"/>
          </w:tcPr>
          <w:p w14:paraId="4A3E7BBA">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141</w:t>
            </w:r>
          </w:p>
        </w:tc>
        <w:tc>
          <w:tcPr>
            <w:tcW w:w="1594" w:type="dxa"/>
            <w:tcBorders>
              <w:top w:val="nil"/>
              <w:left w:val="nil"/>
              <w:bottom w:val="single" w:color="auto" w:sz="4" w:space="0"/>
              <w:right w:val="single" w:color="auto" w:sz="4" w:space="0"/>
            </w:tcBorders>
            <w:shd w:val="clear" w:color="auto" w:fill="auto"/>
            <w:vAlign w:val="center"/>
          </w:tcPr>
          <w:p w14:paraId="27EA2EA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188%</w:t>
            </w:r>
          </w:p>
        </w:tc>
      </w:tr>
      <w:tr w14:paraId="55B2B237">
        <w:tblPrEx>
          <w:tblCellMar>
            <w:top w:w="0" w:type="dxa"/>
            <w:left w:w="108" w:type="dxa"/>
            <w:bottom w:w="0" w:type="dxa"/>
            <w:right w:w="108" w:type="dxa"/>
          </w:tblCellMar>
        </w:tblPrEx>
        <w:trPr>
          <w:gridAfter w:val="1"/>
          <w:wAfter w:w="113" w:type="dxa"/>
          <w:cantSplit/>
          <w:trHeight w:val="397" w:hRule="atLeast"/>
          <w:jc w:val="center"/>
        </w:trPr>
        <w:tc>
          <w:tcPr>
            <w:tcW w:w="3946" w:type="dxa"/>
            <w:tcBorders>
              <w:top w:val="nil"/>
              <w:left w:val="single" w:color="auto" w:sz="4" w:space="0"/>
              <w:bottom w:val="single" w:color="auto" w:sz="4" w:space="0"/>
              <w:right w:val="single" w:color="auto" w:sz="4" w:space="0"/>
            </w:tcBorders>
            <w:shd w:val="clear" w:color="auto" w:fill="auto"/>
            <w:vAlign w:val="center"/>
          </w:tcPr>
          <w:p w14:paraId="63431DC2">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      其他收入</w:t>
            </w:r>
          </w:p>
        </w:tc>
        <w:tc>
          <w:tcPr>
            <w:tcW w:w="1732" w:type="dxa"/>
            <w:tcBorders>
              <w:top w:val="nil"/>
              <w:left w:val="nil"/>
              <w:bottom w:val="single" w:color="auto" w:sz="4" w:space="0"/>
              <w:right w:val="single" w:color="auto" w:sz="4" w:space="0"/>
            </w:tcBorders>
            <w:shd w:val="clear" w:color="auto" w:fill="auto"/>
            <w:vAlign w:val="center"/>
          </w:tcPr>
          <w:p w14:paraId="4628C39C">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4425</w:t>
            </w:r>
          </w:p>
        </w:tc>
        <w:tc>
          <w:tcPr>
            <w:tcW w:w="1535" w:type="dxa"/>
            <w:tcBorders>
              <w:top w:val="nil"/>
              <w:left w:val="nil"/>
              <w:bottom w:val="single" w:color="auto" w:sz="4" w:space="0"/>
              <w:right w:val="single" w:color="auto" w:sz="4" w:space="0"/>
            </w:tcBorders>
            <w:shd w:val="clear" w:color="auto" w:fill="auto"/>
            <w:vAlign w:val="center"/>
          </w:tcPr>
          <w:p w14:paraId="5718EA54">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10545</w:t>
            </w:r>
          </w:p>
        </w:tc>
        <w:tc>
          <w:tcPr>
            <w:tcW w:w="1594" w:type="dxa"/>
            <w:tcBorders>
              <w:top w:val="nil"/>
              <w:left w:val="nil"/>
              <w:bottom w:val="single" w:color="auto" w:sz="4" w:space="0"/>
              <w:right w:val="single" w:color="auto" w:sz="4" w:space="0"/>
            </w:tcBorders>
            <w:shd w:val="clear" w:color="auto" w:fill="auto"/>
            <w:vAlign w:val="center"/>
          </w:tcPr>
          <w:p w14:paraId="7AABAAA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238.3%</w:t>
            </w:r>
          </w:p>
        </w:tc>
      </w:tr>
      <w:tr w14:paraId="39B34825">
        <w:tblPrEx>
          <w:tblCellMar>
            <w:top w:w="0" w:type="dxa"/>
            <w:left w:w="108" w:type="dxa"/>
            <w:bottom w:w="0" w:type="dxa"/>
            <w:right w:w="108" w:type="dxa"/>
          </w:tblCellMar>
        </w:tblPrEx>
        <w:trPr>
          <w:gridAfter w:val="1"/>
          <w:wAfter w:w="113" w:type="dxa"/>
          <w:cantSplit/>
          <w:trHeight w:val="408" w:hRule="atLeast"/>
          <w:jc w:val="center"/>
        </w:trPr>
        <w:tc>
          <w:tcPr>
            <w:tcW w:w="3946" w:type="dxa"/>
            <w:tcBorders>
              <w:top w:val="nil"/>
              <w:left w:val="single" w:color="auto" w:sz="4" w:space="0"/>
              <w:bottom w:val="single" w:color="auto" w:sz="4" w:space="0"/>
              <w:right w:val="single" w:color="auto" w:sz="4" w:space="0"/>
            </w:tcBorders>
            <w:shd w:val="clear" w:color="auto" w:fill="auto"/>
            <w:vAlign w:val="center"/>
          </w:tcPr>
          <w:p w14:paraId="6FDE0483">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合   计</w:t>
            </w:r>
          </w:p>
        </w:tc>
        <w:tc>
          <w:tcPr>
            <w:tcW w:w="1732" w:type="dxa"/>
            <w:tcBorders>
              <w:top w:val="nil"/>
              <w:left w:val="nil"/>
              <w:bottom w:val="single" w:color="auto" w:sz="4" w:space="0"/>
              <w:right w:val="single" w:color="auto" w:sz="4" w:space="0"/>
            </w:tcBorders>
            <w:shd w:val="clear" w:color="auto" w:fill="auto"/>
            <w:vAlign w:val="center"/>
          </w:tcPr>
          <w:p w14:paraId="00EB09AE">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166000</w:t>
            </w:r>
          </w:p>
        </w:tc>
        <w:tc>
          <w:tcPr>
            <w:tcW w:w="1535" w:type="dxa"/>
            <w:tcBorders>
              <w:top w:val="nil"/>
              <w:left w:val="nil"/>
              <w:bottom w:val="single" w:color="auto" w:sz="4" w:space="0"/>
              <w:right w:val="single" w:color="auto" w:sz="4" w:space="0"/>
            </w:tcBorders>
            <w:shd w:val="clear" w:color="auto" w:fill="auto"/>
            <w:vAlign w:val="center"/>
          </w:tcPr>
          <w:p w14:paraId="16EB85FC">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169585</w:t>
            </w:r>
          </w:p>
        </w:tc>
        <w:tc>
          <w:tcPr>
            <w:tcW w:w="1594" w:type="dxa"/>
            <w:tcBorders>
              <w:top w:val="nil"/>
              <w:left w:val="nil"/>
              <w:bottom w:val="single" w:color="auto" w:sz="4" w:space="0"/>
              <w:right w:val="single" w:color="auto" w:sz="4" w:space="0"/>
            </w:tcBorders>
            <w:shd w:val="clear" w:color="auto" w:fill="auto"/>
            <w:vAlign w:val="center"/>
          </w:tcPr>
          <w:p w14:paraId="1990BE6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102.2%</w:t>
            </w:r>
          </w:p>
        </w:tc>
      </w:tr>
    </w:tbl>
    <w:p w14:paraId="521BB819">
      <w:pPr>
        <w:rPr>
          <w:rFonts w:hint="eastAsia"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br w:type="page"/>
      </w:r>
    </w:p>
    <w:p w14:paraId="34D88192">
      <w:pPr>
        <w:pStyle w:val="48"/>
        <w:keepNext w:val="0"/>
        <w:keepLines w:val="0"/>
        <w:pageBreakBefore w:val="0"/>
        <w:widowControl w:val="0"/>
        <w:kinsoku/>
        <w:wordWrap/>
        <w:overflowPunct/>
        <w:topLinePunct w:val="0"/>
        <w:autoSpaceDE/>
        <w:autoSpaceDN/>
        <w:bidi w:val="0"/>
        <w:adjustRightInd/>
        <w:snapToGrid/>
        <w:spacing w:before="0" w:after="0" w:line="572" w:lineRule="exact"/>
        <w:jc w:val="center"/>
        <w:textAlignment w:val="auto"/>
        <w:outlineLvl w:val="9"/>
        <w:rPr>
          <w:rFonts w:hint="eastAsia"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关于202</w:t>
      </w:r>
      <w:r>
        <w:rPr>
          <w:rFonts w:hint="eastAsia" w:hAnsi="方正小标宋简体" w:cs="方正小标宋简体"/>
          <w:color w:val="000000" w:themeColor="text1"/>
          <w:sz w:val="44"/>
          <w:szCs w:val="44"/>
          <w:lang w:val="en-US" w:eastAsia="zh-CN"/>
        </w:rPr>
        <w:t>5</w:t>
      </w:r>
      <w:r>
        <w:rPr>
          <w:rFonts w:hint="eastAsia" w:ascii="方正小标宋简体" w:hAnsi="方正小标宋简体" w:eastAsia="方正小标宋简体" w:cs="方正小标宋简体"/>
          <w:color w:val="000000" w:themeColor="text1"/>
          <w:sz w:val="44"/>
          <w:szCs w:val="44"/>
        </w:rPr>
        <w:t>年一般公共预算收入执行情况的</w:t>
      </w:r>
    </w:p>
    <w:p w14:paraId="7940D3BC">
      <w:pPr>
        <w:pStyle w:val="48"/>
        <w:keepNext w:val="0"/>
        <w:keepLines w:val="0"/>
        <w:pageBreakBefore w:val="0"/>
        <w:widowControl w:val="0"/>
        <w:kinsoku/>
        <w:wordWrap/>
        <w:overflowPunct/>
        <w:topLinePunct w:val="0"/>
        <w:autoSpaceDE/>
        <w:autoSpaceDN/>
        <w:bidi w:val="0"/>
        <w:adjustRightInd/>
        <w:snapToGrid/>
        <w:spacing w:before="0" w:after="0" w:line="572" w:lineRule="exact"/>
        <w:jc w:val="center"/>
        <w:textAlignment w:val="auto"/>
        <w:outlineLvl w:val="9"/>
        <w:rPr>
          <w:rFonts w:hint="eastAsia"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说明</w:t>
      </w:r>
    </w:p>
    <w:p w14:paraId="1DDD7648">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000000" w:themeColor="text1"/>
          <w:sz w:val="32"/>
          <w:szCs w:val="32"/>
        </w:rPr>
      </w:pPr>
    </w:p>
    <w:p w14:paraId="3023FCC0">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202</w:t>
      </w:r>
      <w:r>
        <w:rPr>
          <w:rFonts w:hint="eastAsia" w:ascii="仿宋_GB2312" w:hAnsi="仿宋_GB2312" w:eastAsia="仿宋_GB2312" w:cs="仿宋_GB2312"/>
          <w:color w:val="000000" w:themeColor="text1"/>
          <w:sz w:val="32"/>
          <w:szCs w:val="32"/>
          <w:lang w:val="en-US" w:eastAsia="zh-CN"/>
        </w:rPr>
        <w:t>5</w:t>
      </w:r>
      <w:r>
        <w:rPr>
          <w:rFonts w:hint="eastAsia" w:ascii="仿宋_GB2312" w:hAnsi="仿宋_GB2312" w:eastAsia="仿宋_GB2312" w:cs="仿宋_GB2312"/>
          <w:color w:val="000000" w:themeColor="text1"/>
          <w:sz w:val="32"/>
          <w:szCs w:val="32"/>
        </w:rPr>
        <w:t>年全县一般公共预算收入预算</w:t>
      </w:r>
      <w:r>
        <w:rPr>
          <w:rFonts w:hint="eastAsia" w:ascii="仿宋_GB2312" w:hAnsi="仿宋_GB2312" w:eastAsia="仿宋_GB2312" w:cs="仿宋_GB2312"/>
          <w:color w:val="000000" w:themeColor="text1"/>
          <w:sz w:val="32"/>
          <w:szCs w:val="32"/>
          <w:lang w:val="en-US" w:eastAsia="zh-CN"/>
        </w:rPr>
        <w:t>166000</w:t>
      </w:r>
      <w:r>
        <w:rPr>
          <w:rFonts w:hint="eastAsia" w:ascii="仿宋_GB2312" w:hAnsi="仿宋_GB2312" w:eastAsia="仿宋_GB2312" w:cs="仿宋_GB2312"/>
          <w:color w:val="000000" w:themeColor="text1"/>
          <w:sz w:val="32"/>
          <w:szCs w:val="32"/>
        </w:rPr>
        <w:t>万元，实际完成</w:t>
      </w:r>
      <w:r>
        <w:rPr>
          <w:rFonts w:hint="eastAsia" w:ascii="仿宋_GB2312" w:hAnsi="仿宋_GB2312" w:eastAsia="仿宋_GB2312" w:cs="仿宋_GB2312"/>
          <w:color w:val="000000" w:themeColor="text1"/>
          <w:sz w:val="32"/>
          <w:szCs w:val="32"/>
          <w:lang w:val="en-US" w:eastAsia="zh-CN"/>
        </w:rPr>
        <w:t>169585</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color w:val="000000" w:themeColor="text1"/>
          <w:sz w:val="32"/>
          <w:szCs w:val="32"/>
          <w:lang w:val="en-US" w:eastAsia="zh-CN"/>
        </w:rPr>
        <w:t>为年初预算的102.2%。</w:t>
      </w:r>
      <w:r>
        <w:rPr>
          <w:rFonts w:hint="eastAsia" w:ascii="仿宋_GB2312" w:hAnsi="仿宋_GB2312" w:eastAsia="仿宋_GB2312" w:cs="仿宋_GB2312"/>
          <w:color w:val="000000" w:themeColor="text1"/>
          <w:sz w:val="32"/>
          <w:szCs w:val="32"/>
        </w:rPr>
        <w:t>其中：税收收入</w:t>
      </w:r>
      <w:r>
        <w:rPr>
          <w:rFonts w:hint="eastAsia" w:ascii="仿宋_GB2312" w:hAnsi="仿宋_GB2312" w:eastAsia="仿宋_GB2312" w:cs="仿宋_GB2312"/>
          <w:color w:val="000000" w:themeColor="text1"/>
          <w:sz w:val="32"/>
          <w:szCs w:val="32"/>
          <w:lang w:val="en-US" w:eastAsia="zh-CN"/>
        </w:rPr>
        <w:t>116329</w:t>
      </w:r>
      <w:r>
        <w:rPr>
          <w:rFonts w:hint="eastAsia" w:ascii="仿宋_GB2312" w:hAnsi="仿宋_GB2312" w:eastAsia="仿宋_GB2312" w:cs="仿宋_GB2312"/>
          <w:color w:val="000000" w:themeColor="text1"/>
          <w:sz w:val="32"/>
          <w:szCs w:val="32"/>
        </w:rPr>
        <w:t>万元，非税收入</w:t>
      </w:r>
      <w:r>
        <w:rPr>
          <w:rFonts w:hint="eastAsia" w:ascii="仿宋_GB2312" w:hAnsi="仿宋_GB2312" w:eastAsia="仿宋_GB2312" w:cs="仿宋_GB2312"/>
          <w:color w:val="000000" w:themeColor="text1"/>
          <w:sz w:val="32"/>
          <w:szCs w:val="32"/>
          <w:lang w:val="en-US" w:eastAsia="zh-CN"/>
        </w:rPr>
        <w:t>53256</w:t>
      </w:r>
      <w:r>
        <w:rPr>
          <w:rFonts w:hint="eastAsia" w:ascii="仿宋_GB2312" w:hAnsi="仿宋_GB2312" w:eastAsia="仿宋_GB2312" w:cs="仿宋_GB2312"/>
          <w:color w:val="000000" w:themeColor="text1"/>
          <w:sz w:val="32"/>
          <w:szCs w:val="32"/>
        </w:rPr>
        <w:t xml:space="preserve">万元。 </w:t>
      </w:r>
    </w:p>
    <w:p w14:paraId="2CC0E429">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rPr>
        <w:t>主要项目执行情况是：</w:t>
      </w:r>
    </w:p>
    <w:p w14:paraId="1A69464A">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000000" w:themeColor="text1"/>
          <w:sz w:val="32"/>
          <w:szCs w:val="32"/>
        </w:rPr>
        <w:t>1.增值税</w:t>
      </w:r>
      <w:r>
        <w:rPr>
          <w:rFonts w:hint="eastAsia" w:ascii="仿宋_GB2312" w:hAnsi="仿宋_GB2312" w:eastAsia="仿宋_GB2312" w:cs="仿宋_GB2312"/>
          <w:color w:val="000000" w:themeColor="text1"/>
          <w:sz w:val="32"/>
          <w:szCs w:val="32"/>
          <w:lang w:val="en-US" w:eastAsia="zh-CN"/>
        </w:rPr>
        <w:t>28747</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color w:val="000000" w:themeColor="text1"/>
          <w:sz w:val="32"/>
          <w:szCs w:val="32"/>
          <w:lang w:val="en-US" w:eastAsia="zh-CN"/>
        </w:rPr>
        <w:t>为年初预算的</w:t>
      </w:r>
      <w:bookmarkStart w:id="1" w:name="OLE_LINK1"/>
      <w:r>
        <w:rPr>
          <w:rFonts w:hint="eastAsia" w:ascii="仿宋_GB2312" w:hAnsi="仿宋_GB2312" w:eastAsia="仿宋_GB2312" w:cs="仿宋_GB2312"/>
          <w:color w:val="000000" w:themeColor="text1"/>
          <w:sz w:val="32"/>
          <w:szCs w:val="32"/>
          <w:lang w:val="en-US" w:eastAsia="zh-CN"/>
        </w:rPr>
        <w:t>100.2%</w:t>
      </w:r>
      <w:bookmarkEnd w:id="1"/>
      <w:r>
        <w:rPr>
          <w:rFonts w:hint="eastAsia" w:ascii="仿宋_GB2312" w:hAnsi="仿宋_GB2312" w:eastAsia="仿宋_GB2312" w:cs="仿宋_GB2312"/>
          <w:color w:val="000000" w:themeColor="text1"/>
          <w:sz w:val="32"/>
          <w:szCs w:val="32"/>
          <w:lang w:eastAsia="zh-CN"/>
        </w:rPr>
        <w:t>；</w:t>
      </w:r>
    </w:p>
    <w:p w14:paraId="4AABDAFD">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rPr>
        <w:t>2.企业所得税</w:t>
      </w:r>
      <w:r>
        <w:rPr>
          <w:rFonts w:hint="eastAsia" w:ascii="仿宋_GB2312" w:hAnsi="仿宋_GB2312" w:eastAsia="仿宋_GB2312" w:cs="仿宋_GB2312"/>
          <w:color w:val="000000" w:themeColor="text1"/>
          <w:sz w:val="32"/>
          <w:szCs w:val="32"/>
          <w:lang w:val="en-US" w:eastAsia="zh-CN"/>
        </w:rPr>
        <w:t>6969</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color w:val="000000" w:themeColor="text1"/>
          <w:sz w:val="32"/>
          <w:szCs w:val="32"/>
          <w:lang w:eastAsia="zh-CN"/>
        </w:rPr>
        <w:t>为年初预算的</w:t>
      </w:r>
      <w:r>
        <w:rPr>
          <w:rFonts w:hint="eastAsia" w:ascii="仿宋_GB2312" w:hAnsi="仿宋_GB2312" w:eastAsia="仿宋_GB2312" w:cs="仿宋_GB2312"/>
          <w:color w:val="000000" w:themeColor="text1"/>
          <w:sz w:val="32"/>
          <w:szCs w:val="32"/>
          <w:lang w:val="en-US" w:eastAsia="zh-CN"/>
        </w:rPr>
        <w:t>71.1%</w:t>
      </w:r>
      <w:r>
        <w:rPr>
          <w:rFonts w:hint="eastAsia" w:ascii="仿宋_GB2312" w:hAnsi="仿宋_GB2312" w:eastAsia="仿宋_GB2312" w:cs="仿宋_GB2312"/>
          <w:color w:val="000000" w:themeColor="text1"/>
          <w:sz w:val="32"/>
          <w:szCs w:val="32"/>
          <w:lang w:eastAsia="zh-CN"/>
        </w:rPr>
        <w:t>；</w:t>
      </w:r>
    </w:p>
    <w:p w14:paraId="459390D4">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rPr>
        <w:t>3.资源税</w:t>
      </w:r>
      <w:r>
        <w:rPr>
          <w:rFonts w:hint="eastAsia" w:ascii="仿宋_GB2312" w:hAnsi="仿宋_GB2312" w:eastAsia="仿宋_GB2312" w:cs="仿宋_GB2312"/>
          <w:color w:val="000000" w:themeColor="text1"/>
          <w:sz w:val="32"/>
          <w:szCs w:val="32"/>
          <w:lang w:val="en-US" w:eastAsia="zh-CN"/>
        </w:rPr>
        <w:t>6117</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color w:val="000000" w:themeColor="text1"/>
          <w:sz w:val="32"/>
          <w:szCs w:val="32"/>
          <w:lang w:eastAsia="zh-CN"/>
        </w:rPr>
        <w:t>为年初预算的</w:t>
      </w:r>
      <w:r>
        <w:rPr>
          <w:rFonts w:hint="eastAsia" w:ascii="仿宋_GB2312" w:hAnsi="仿宋_GB2312" w:eastAsia="仿宋_GB2312" w:cs="仿宋_GB2312"/>
          <w:color w:val="000000" w:themeColor="text1"/>
          <w:sz w:val="32"/>
          <w:szCs w:val="32"/>
          <w:lang w:val="en-US" w:eastAsia="zh-CN"/>
        </w:rPr>
        <w:t>51%</w:t>
      </w:r>
      <w:r>
        <w:rPr>
          <w:rFonts w:hint="eastAsia" w:ascii="仿宋_GB2312" w:hAnsi="仿宋_GB2312" w:eastAsia="仿宋_GB2312" w:cs="仿宋_GB2312"/>
          <w:color w:val="000000" w:themeColor="text1"/>
          <w:sz w:val="32"/>
          <w:szCs w:val="32"/>
          <w:lang w:eastAsia="zh-CN"/>
        </w:rPr>
        <w:t>；</w:t>
      </w:r>
    </w:p>
    <w:p w14:paraId="02C2A061">
      <w:pPr>
        <w:pStyle w:val="26"/>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rPr>
        <w:t>4.个人所得税</w:t>
      </w:r>
      <w:r>
        <w:rPr>
          <w:rFonts w:hint="eastAsia" w:ascii="仿宋_GB2312" w:hAnsi="仿宋_GB2312" w:eastAsia="仿宋_GB2312" w:cs="仿宋_GB2312"/>
          <w:color w:val="000000" w:themeColor="text1"/>
          <w:sz w:val="32"/>
          <w:szCs w:val="32"/>
          <w:lang w:val="en-US" w:eastAsia="zh-CN"/>
        </w:rPr>
        <w:t>1302</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color w:val="000000" w:themeColor="text1"/>
          <w:sz w:val="32"/>
          <w:szCs w:val="32"/>
          <w:lang w:eastAsia="zh-CN"/>
        </w:rPr>
        <w:t>为年初预算的</w:t>
      </w:r>
      <w:r>
        <w:rPr>
          <w:rFonts w:hint="eastAsia" w:ascii="仿宋_GB2312" w:hAnsi="仿宋_GB2312" w:eastAsia="仿宋_GB2312" w:cs="仿宋_GB2312"/>
          <w:color w:val="000000" w:themeColor="text1"/>
          <w:sz w:val="32"/>
          <w:szCs w:val="32"/>
          <w:lang w:val="en-US" w:eastAsia="zh-CN"/>
        </w:rPr>
        <w:t>86.8%</w:t>
      </w:r>
      <w:r>
        <w:rPr>
          <w:rFonts w:hint="eastAsia" w:ascii="仿宋_GB2312" w:hAnsi="仿宋_GB2312" w:eastAsia="仿宋_GB2312" w:cs="仿宋_GB2312"/>
          <w:color w:val="000000" w:themeColor="text1"/>
          <w:sz w:val="32"/>
          <w:szCs w:val="32"/>
          <w:lang w:eastAsia="zh-CN"/>
        </w:rPr>
        <w:t>；</w:t>
      </w:r>
    </w:p>
    <w:p w14:paraId="277CFFA6">
      <w:pPr>
        <w:pStyle w:val="26"/>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rPr>
        <w:t>5.城市维护建设税</w:t>
      </w:r>
      <w:r>
        <w:rPr>
          <w:rFonts w:hint="eastAsia" w:ascii="仿宋_GB2312" w:hAnsi="仿宋_GB2312" w:eastAsia="仿宋_GB2312" w:cs="仿宋_GB2312"/>
          <w:color w:val="000000" w:themeColor="text1"/>
          <w:sz w:val="32"/>
          <w:szCs w:val="32"/>
          <w:lang w:val="en-US" w:eastAsia="zh-CN"/>
        </w:rPr>
        <w:t>1926</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color w:val="000000" w:themeColor="text1"/>
          <w:sz w:val="32"/>
          <w:szCs w:val="32"/>
          <w:lang w:eastAsia="zh-CN"/>
        </w:rPr>
        <w:t>为年初预算的</w:t>
      </w:r>
      <w:r>
        <w:rPr>
          <w:rFonts w:hint="eastAsia" w:ascii="仿宋_GB2312" w:hAnsi="仿宋_GB2312" w:eastAsia="仿宋_GB2312" w:cs="仿宋_GB2312"/>
          <w:color w:val="000000" w:themeColor="text1"/>
          <w:sz w:val="32"/>
          <w:szCs w:val="32"/>
          <w:lang w:val="en-US" w:eastAsia="zh-CN"/>
        </w:rPr>
        <w:t>68.8%</w:t>
      </w:r>
      <w:r>
        <w:rPr>
          <w:rFonts w:hint="eastAsia" w:ascii="仿宋_GB2312" w:hAnsi="仿宋_GB2312" w:eastAsia="仿宋_GB2312" w:cs="仿宋_GB2312"/>
          <w:color w:val="000000" w:themeColor="text1"/>
          <w:sz w:val="32"/>
          <w:szCs w:val="32"/>
          <w:lang w:eastAsia="zh-CN"/>
        </w:rPr>
        <w:t>；</w:t>
      </w:r>
    </w:p>
    <w:p w14:paraId="511DF812">
      <w:pPr>
        <w:pStyle w:val="26"/>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rPr>
        <w:t>6.房产税</w:t>
      </w:r>
      <w:r>
        <w:rPr>
          <w:rFonts w:hint="eastAsia" w:ascii="仿宋_GB2312" w:hAnsi="仿宋_GB2312" w:eastAsia="仿宋_GB2312" w:cs="仿宋_GB2312"/>
          <w:color w:val="000000" w:themeColor="text1"/>
          <w:sz w:val="32"/>
          <w:szCs w:val="32"/>
          <w:lang w:val="en-US" w:eastAsia="zh-CN"/>
        </w:rPr>
        <w:t>4332</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color w:val="000000" w:themeColor="text1"/>
          <w:sz w:val="32"/>
          <w:szCs w:val="32"/>
          <w:lang w:eastAsia="zh-CN"/>
        </w:rPr>
        <w:t>为年初预算的</w:t>
      </w:r>
      <w:r>
        <w:rPr>
          <w:rFonts w:hint="eastAsia" w:ascii="仿宋_GB2312" w:hAnsi="仿宋_GB2312" w:eastAsia="仿宋_GB2312" w:cs="仿宋_GB2312"/>
          <w:color w:val="000000" w:themeColor="text1"/>
          <w:sz w:val="32"/>
          <w:szCs w:val="32"/>
          <w:lang w:val="en-US" w:eastAsia="zh-CN"/>
        </w:rPr>
        <w:t>96.3%</w:t>
      </w:r>
      <w:r>
        <w:rPr>
          <w:rFonts w:hint="eastAsia" w:ascii="仿宋_GB2312" w:hAnsi="仿宋_GB2312" w:eastAsia="仿宋_GB2312" w:cs="仿宋_GB2312"/>
          <w:color w:val="000000" w:themeColor="text1"/>
          <w:sz w:val="32"/>
          <w:szCs w:val="32"/>
          <w:lang w:eastAsia="zh-CN"/>
        </w:rPr>
        <w:t>；</w:t>
      </w:r>
    </w:p>
    <w:p w14:paraId="1FBE2DBB">
      <w:pPr>
        <w:pStyle w:val="26"/>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rPr>
        <w:t>7.印花税</w:t>
      </w:r>
      <w:r>
        <w:rPr>
          <w:rFonts w:hint="eastAsia" w:ascii="仿宋_GB2312" w:hAnsi="仿宋_GB2312" w:eastAsia="仿宋_GB2312" w:cs="仿宋_GB2312"/>
          <w:color w:val="000000" w:themeColor="text1"/>
          <w:sz w:val="32"/>
          <w:szCs w:val="32"/>
          <w:lang w:val="en-US" w:eastAsia="zh-CN"/>
        </w:rPr>
        <w:t>1919</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color w:val="000000" w:themeColor="text1"/>
          <w:sz w:val="32"/>
          <w:szCs w:val="32"/>
          <w:lang w:eastAsia="zh-CN"/>
        </w:rPr>
        <w:t>为年初预算的</w:t>
      </w:r>
      <w:r>
        <w:rPr>
          <w:rFonts w:hint="eastAsia" w:ascii="仿宋_GB2312" w:hAnsi="仿宋_GB2312" w:eastAsia="仿宋_GB2312" w:cs="仿宋_GB2312"/>
          <w:color w:val="000000" w:themeColor="text1"/>
          <w:sz w:val="32"/>
          <w:szCs w:val="32"/>
          <w:lang w:val="en-US" w:eastAsia="zh-CN"/>
        </w:rPr>
        <w:t>83.4</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w:t>
      </w:r>
    </w:p>
    <w:p w14:paraId="10BCD8AF">
      <w:pPr>
        <w:pStyle w:val="26"/>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rPr>
        <w:t>8.城镇土地使用税</w:t>
      </w:r>
      <w:r>
        <w:rPr>
          <w:rFonts w:hint="eastAsia" w:ascii="仿宋_GB2312" w:hAnsi="仿宋_GB2312" w:eastAsia="仿宋_GB2312" w:cs="仿宋_GB2312"/>
          <w:color w:val="000000" w:themeColor="text1"/>
          <w:sz w:val="32"/>
          <w:szCs w:val="32"/>
          <w:lang w:val="en-US" w:eastAsia="zh-CN"/>
        </w:rPr>
        <w:t>7350</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color w:val="000000" w:themeColor="text1"/>
          <w:sz w:val="32"/>
          <w:szCs w:val="32"/>
          <w:lang w:eastAsia="zh-CN"/>
        </w:rPr>
        <w:t>为年初预算的</w:t>
      </w:r>
      <w:r>
        <w:rPr>
          <w:rFonts w:hint="eastAsia" w:ascii="仿宋_GB2312" w:hAnsi="仿宋_GB2312" w:eastAsia="仿宋_GB2312" w:cs="仿宋_GB2312"/>
          <w:color w:val="000000" w:themeColor="text1"/>
          <w:sz w:val="32"/>
          <w:szCs w:val="32"/>
          <w:lang w:val="en-US" w:eastAsia="zh-CN"/>
        </w:rPr>
        <w:t>42.5</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w:t>
      </w:r>
    </w:p>
    <w:p w14:paraId="318A166F">
      <w:pPr>
        <w:pStyle w:val="26"/>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rPr>
        <w:t>9.土地增值税</w:t>
      </w:r>
      <w:r>
        <w:rPr>
          <w:rFonts w:hint="eastAsia" w:ascii="仿宋_GB2312" w:hAnsi="仿宋_GB2312" w:eastAsia="仿宋_GB2312" w:cs="仿宋_GB2312"/>
          <w:color w:val="000000" w:themeColor="text1"/>
          <w:sz w:val="32"/>
          <w:szCs w:val="32"/>
          <w:lang w:val="en-US" w:eastAsia="zh-CN"/>
        </w:rPr>
        <w:t>26136</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color w:val="000000" w:themeColor="text1"/>
          <w:sz w:val="32"/>
          <w:szCs w:val="32"/>
          <w:lang w:eastAsia="zh-CN"/>
        </w:rPr>
        <w:t>为年初预算的</w:t>
      </w:r>
      <w:r>
        <w:rPr>
          <w:rFonts w:hint="eastAsia" w:ascii="仿宋_GB2312" w:hAnsi="仿宋_GB2312" w:eastAsia="仿宋_GB2312" w:cs="仿宋_GB2312"/>
          <w:color w:val="000000" w:themeColor="text1"/>
          <w:sz w:val="32"/>
          <w:szCs w:val="32"/>
          <w:lang w:val="en-US" w:eastAsia="zh-CN"/>
        </w:rPr>
        <w:t>237.6</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w:t>
      </w:r>
    </w:p>
    <w:p w14:paraId="26DCF8BE">
      <w:pPr>
        <w:pStyle w:val="26"/>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rPr>
        <w:t>10.车船税</w:t>
      </w:r>
      <w:r>
        <w:rPr>
          <w:rFonts w:hint="eastAsia" w:ascii="仿宋_GB2312" w:hAnsi="仿宋_GB2312" w:eastAsia="仿宋_GB2312" w:cs="仿宋_GB2312"/>
          <w:color w:val="000000" w:themeColor="text1"/>
          <w:sz w:val="32"/>
          <w:szCs w:val="32"/>
          <w:lang w:val="en-US" w:eastAsia="zh-CN"/>
        </w:rPr>
        <w:t>4007</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color w:val="000000" w:themeColor="text1"/>
          <w:sz w:val="32"/>
          <w:szCs w:val="32"/>
          <w:lang w:eastAsia="zh-CN"/>
        </w:rPr>
        <w:t>为年初预算的</w:t>
      </w:r>
      <w:r>
        <w:rPr>
          <w:rFonts w:hint="eastAsia" w:ascii="仿宋_GB2312" w:hAnsi="仿宋_GB2312" w:eastAsia="仿宋_GB2312" w:cs="仿宋_GB2312"/>
          <w:color w:val="000000" w:themeColor="text1"/>
          <w:sz w:val="32"/>
          <w:szCs w:val="32"/>
          <w:lang w:val="en-US" w:eastAsia="zh-CN"/>
        </w:rPr>
        <w:t>111.3</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w:t>
      </w:r>
    </w:p>
    <w:p w14:paraId="4D826557">
      <w:pPr>
        <w:pStyle w:val="26"/>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rPr>
        <w:t>11.耕地占用税</w:t>
      </w:r>
      <w:r>
        <w:rPr>
          <w:rFonts w:hint="eastAsia" w:ascii="仿宋_GB2312" w:hAnsi="仿宋_GB2312" w:eastAsia="仿宋_GB2312" w:cs="仿宋_GB2312"/>
          <w:color w:val="000000" w:themeColor="text1"/>
          <w:sz w:val="32"/>
          <w:szCs w:val="32"/>
          <w:lang w:val="en-US" w:eastAsia="zh-CN"/>
        </w:rPr>
        <w:t>13382</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color w:val="000000" w:themeColor="text1"/>
          <w:sz w:val="32"/>
          <w:szCs w:val="32"/>
          <w:lang w:eastAsia="zh-CN"/>
        </w:rPr>
        <w:t>为年初预算的</w:t>
      </w:r>
      <w:r>
        <w:rPr>
          <w:rFonts w:hint="eastAsia" w:ascii="仿宋_GB2312" w:hAnsi="仿宋_GB2312" w:eastAsia="仿宋_GB2312" w:cs="仿宋_GB2312"/>
          <w:color w:val="000000" w:themeColor="text1"/>
          <w:sz w:val="32"/>
          <w:szCs w:val="32"/>
          <w:lang w:val="en-US" w:eastAsia="zh-CN"/>
        </w:rPr>
        <w:t>382.3</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w:t>
      </w:r>
    </w:p>
    <w:p w14:paraId="417389B7">
      <w:pPr>
        <w:pStyle w:val="26"/>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rPr>
        <w:t>12.契税</w:t>
      </w:r>
      <w:r>
        <w:rPr>
          <w:rFonts w:hint="eastAsia" w:ascii="仿宋_GB2312" w:hAnsi="仿宋_GB2312" w:eastAsia="仿宋_GB2312" w:cs="仿宋_GB2312"/>
          <w:color w:val="000000" w:themeColor="text1"/>
          <w:sz w:val="32"/>
          <w:szCs w:val="32"/>
          <w:lang w:val="en-US" w:eastAsia="zh-CN"/>
        </w:rPr>
        <w:t>10431</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color w:val="000000" w:themeColor="text1"/>
          <w:sz w:val="32"/>
          <w:szCs w:val="32"/>
          <w:lang w:eastAsia="zh-CN"/>
        </w:rPr>
        <w:t>为年初预算的</w:t>
      </w:r>
      <w:r>
        <w:rPr>
          <w:rFonts w:hint="eastAsia" w:ascii="仿宋_GB2312" w:hAnsi="仿宋_GB2312" w:eastAsia="仿宋_GB2312" w:cs="仿宋_GB2312"/>
          <w:color w:val="000000" w:themeColor="text1"/>
          <w:sz w:val="32"/>
          <w:szCs w:val="32"/>
          <w:lang w:val="en-US" w:eastAsia="zh-CN"/>
        </w:rPr>
        <w:t>80.2</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w:t>
      </w:r>
    </w:p>
    <w:p w14:paraId="762150AD">
      <w:pPr>
        <w:pStyle w:val="26"/>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rPr>
        <w:t>13.烟叶税</w:t>
      </w:r>
      <w:r>
        <w:rPr>
          <w:rFonts w:hint="eastAsia" w:ascii="仿宋_GB2312" w:hAnsi="仿宋_GB2312" w:eastAsia="仿宋_GB2312" w:cs="仿宋_GB2312"/>
          <w:color w:val="000000" w:themeColor="text1"/>
          <w:sz w:val="32"/>
          <w:szCs w:val="32"/>
          <w:lang w:val="en-US" w:eastAsia="zh-CN"/>
        </w:rPr>
        <w:t>910</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color w:val="000000" w:themeColor="text1"/>
          <w:sz w:val="32"/>
          <w:szCs w:val="32"/>
          <w:lang w:eastAsia="zh-CN"/>
        </w:rPr>
        <w:t>为年初预算的</w:t>
      </w:r>
      <w:r>
        <w:rPr>
          <w:rFonts w:hint="eastAsia" w:ascii="仿宋_GB2312" w:hAnsi="仿宋_GB2312" w:eastAsia="仿宋_GB2312" w:cs="仿宋_GB2312"/>
          <w:color w:val="000000" w:themeColor="text1"/>
          <w:sz w:val="32"/>
          <w:szCs w:val="32"/>
          <w:lang w:val="en-US" w:eastAsia="zh-CN"/>
        </w:rPr>
        <w:t>91</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w:t>
      </w:r>
    </w:p>
    <w:p w14:paraId="66A00BF0">
      <w:pPr>
        <w:pStyle w:val="26"/>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rPr>
        <w:t>14.环境保护税</w:t>
      </w:r>
      <w:r>
        <w:rPr>
          <w:rFonts w:hint="eastAsia" w:ascii="仿宋_GB2312" w:hAnsi="仿宋_GB2312" w:eastAsia="仿宋_GB2312" w:cs="仿宋_GB2312"/>
          <w:color w:val="000000" w:themeColor="text1"/>
          <w:sz w:val="32"/>
          <w:szCs w:val="32"/>
          <w:lang w:val="en-US" w:eastAsia="zh-CN"/>
        </w:rPr>
        <w:t>2801</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color w:val="000000" w:themeColor="text1"/>
          <w:sz w:val="32"/>
          <w:szCs w:val="32"/>
          <w:lang w:eastAsia="zh-CN"/>
        </w:rPr>
        <w:t>为年初预算的</w:t>
      </w:r>
      <w:r>
        <w:rPr>
          <w:rFonts w:hint="eastAsia" w:ascii="仿宋_GB2312" w:hAnsi="仿宋_GB2312" w:eastAsia="仿宋_GB2312" w:cs="仿宋_GB2312"/>
          <w:color w:val="000000" w:themeColor="text1"/>
          <w:sz w:val="32"/>
          <w:szCs w:val="32"/>
          <w:lang w:val="en-US" w:eastAsia="zh-CN"/>
        </w:rPr>
        <w:t>56</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w:t>
      </w:r>
    </w:p>
    <w:p w14:paraId="4F68F4EB">
      <w:pPr>
        <w:pStyle w:val="26"/>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000000" w:themeColor="text1"/>
          <w:spacing w:val="-6"/>
          <w:sz w:val="32"/>
          <w:szCs w:val="32"/>
          <w:lang w:eastAsia="zh-CN"/>
        </w:rPr>
      </w:pPr>
      <w:r>
        <w:rPr>
          <w:rFonts w:hint="eastAsia" w:ascii="仿宋_GB2312" w:hAnsi="仿宋_GB2312" w:eastAsia="仿宋_GB2312" w:cs="仿宋_GB2312"/>
          <w:color w:val="000000" w:themeColor="text1"/>
          <w:sz w:val="32"/>
          <w:szCs w:val="32"/>
        </w:rPr>
        <w:t>15.</w:t>
      </w:r>
      <w:r>
        <w:rPr>
          <w:rFonts w:hint="eastAsia" w:ascii="仿宋_GB2312" w:hAnsi="仿宋_GB2312" w:eastAsia="仿宋_GB2312" w:cs="仿宋_GB2312"/>
          <w:color w:val="000000" w:themeColor="text1"/>
          <w:spacing w:val="-6"/>
          <w:sz w:val="32"/>
          <w:szCs w:val="32"/>
        </w:rPr>
        <w:t>专项收入</w:t>
      </w:r>
      <w:r>
        <w:rPr>
          <w:rFonts w:hint="eastAsia" w:ascii="仿宋_GB2312" w:hAnsi="仿宋_GB2312" w:eastAsia="仿宋_GB2312" w:cs="仿宋_GB2312"/>
          <w:color w:val="000000" w:themeColor="text1"/>
          <w:spacing w:val="-6"/>
          <w:sz w:val="32"/>
          <w:szCs w:val="32"/>
          <w:lang w:val="en-US" w:eastAsia="zh-CN"/>
        </w:rPr>
        <w:t>6144</w:t>
      </w:r>
      <w:r>
        <w:rPr>
          <w:rFonts w:hint="eastAsia" w:ascii="仿宋_GB2312" w:hAnsi="仿宋_GB2312" w:eastAsia="仿宋_GB2312" w:cs="仿宋_GB2312"/>
          <w:color w:val="000000" w:themeColor="text1"/>
          <w:spacing w:val="-6"/>
          <w:sz w:val="32"/>
          <w:szCs w:val="32"/>
        </w:rPr>
        <w:t>万元，</w:t>
      </w:r>
      <w:r>
        <w:rPr>
          <w:rFonts w:hint="eastAsia" w:ascii="仿宋_GB2312" w:hAnsi="仿宋_GB2312" w:eastAsia="仿宋_GB2312" w:cs="仿宋_GB2312"/>
          <w:color w:val="000000" w:themeColor="text1"/>
          <w:sz w:val="32"/>
          <w:szCs w:val="32"/>
          <w:lang w:eastAsia="zh-CN"/>
        </w:rPr>
        <w:t>为年初预算的</w:t>
      </w:r>
      <w:r>
        <w:rPr>
          <w:rFonts w:hint="eastAsia" w:ascii="仿宋_GB2312" w:hAnsi="仿宋_GB2312" w:eastAsia="仿宋_GB2312" w:cs="仿宋_GB2312"/>
          <w:color w:val="000000" w:themeColor="text1"/>
          <w:sz w:val="32"/>
          <w:szCs w:val="32"/>
          <w:lang w:val="en-US" w:eastAsia="zh-CN"/>
        </w:rPr>
        <w:t>87.8</w:t>
      </w:r>
      <w:r>
        <w:rPr>
          <w:rFonts w:hint="eastAsia" w:ascii="仿宋_GB2312" w:hAnsi="仿宋_GB2312" w:eastAsia="仿宋_GB2312" w:cs="仿宋_GB2312"/>
          <w:color w:val="000000" w:themeColor="text1"/>
          <w:spacing w:val="-6"/>
          <w:sz w:val="32"/>
          <w:szCs w:val="32"/>
        </w:rPr>
        <w:t>%</w:t>
      </w:r>
      <w:r>
        <w:rPr>
          <w:rFonts w:hint="eastAsia" w:ascii="仿宋_GB2312" w:hAnsi="仿宋_GB2312" w:eastAsia="仿宋_GB2312" w:cs="仿宋_GB2312"/>
          <w:color w:val="000000" w:themeColor="text1"/>
          <w:spacing w:val="-6"/>
          <w:sz w:val="32"/>
          <w:szCs w:val="32"/>
          <w:lang w:eastAsia="zh-CN"/>
        </w:rPr>
        <w:t>；</w:t>
      </w:r>
    </w:p>
    <w:p w14:paraId="3D33C453">
      <w:pPr>
        <w:pStyle w:val="26"/>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rPr>
        <w:t>16.行政事业性收费收入</w:t>
      </w:r>
      <w:r>
        <w:rPr>
          <w:rFonts w:hint="eastAsia" w:ascii="仿宋_GB2312" w:hAnsi="仿宋_GB2312" w:eastAsia="仿宋_GB2312" w:cs="仿宋_GB2312"/>
          <w:color w:val="000000" w:themeColor="text1"/>
          <w:sz w:val="32"/>
          <w:szCs w:val="32"/>
          <w:lang w:val="en-US" w:eastAsia="zh-CN"/>
        </w:rPr>
        <w:t>4311</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color w:val="000000" w:themeColor="text1"/>
          <w:sz w:val="32"/>
          <w:szCs w:val="32"/>
          <w:lang w:eastAsia="zh-CN"/>
        </w:rPr>
        <w:t>为年初预算的</w:t>
      </w:r>
      <w:r>
        <w:rPr>
          <w:rFonts w:hint="eastAsia" w:ascii="仿宋_GB2312" w:hAnsi="仿宋_GB2312" w:eastAsia="仿宋_GB2312" w:cs="仿宋_GB2312"/>
          <w:color w:val="000000" w:themeColor="text1"/>
          <w:sz w:val="32"/>
          <w:szCs w:val="32"/>
          <w:lang w:val="en-US" w:eastAsia="zh-CN"/>
        </w:rPr>
        <w:t>134.7</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w:t>
      </w:r>
    </w:p>
    <w:p w14:paraId="2BB76E39">
      <w:pPr>
        <w:pStyle w:val="26"/>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rPr>
        <w:t>17.罚没收入</w:t>
      </w:r>
      <w:r>
        <w:rPr>
          <w:rFonts w:hint="eastAsia" w:ascii="仿宋_GB2312" w:hAnsi="仿宋_GB2312" w:eastAsia="仿宋_GB2312" w:cs="仿宋_GB2312"/>
          <w:color w:val="000000" w:themeColor="text1"/>
          <w:sz w:val="32"/>
          <w:szCs w:val="32"/>
          <w:lang w:val="en-US" w:eastAsia="zh-CN"/>
        </w:rPr>
        <w:t>4559</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color w:val="000000" w:themeColor="text1"/>
          <w:sz w:val="32"/>
          <w:szCs w:val="32"/>
          <w:lang w:eastAsia="zh-CN"/>
        </w:rPr>
        <w:t>为年初预算的</w:t>
      </w:r>
      <w:r>
        <w:rPr>
          <w:rFonts w:hint="eastAsia" w:ascii="仿宋_GB2312" w:hAnsi="仿宋_GB2312" w:eastAsia="仿宋_GB2312" w:cs="仿宋_GB2312"/>
          <w:color w:val="000000" w:themeColor="text1"/>
          <w:sz w:val="32"/>
          <w:szCs w:val="32"/>
          <w:lang w:val="en-US" w:eastAsia="zh-CN"/>
        </w:rPr>
        <w:t>138.2</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w:t>
      </w:r>
    </w:p>
    <w:p w14:paraId="1DFF3009">
      <w:pPr>
        <w:pStyle w:val="26"/>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rPr>
        <w:t>18.国有资源(资产)有偿使用收入</w:t>
      </w:r>
      <w:r>
        <w:rPr>
          <w:rFonts w:hint="eastAsia" w:ascii="仿宋_GB2312" w:hAnsi="仿宋_GB2312" w:eastAsia="仿宋_GB2312" w:cs="仿宋_GB2312"/>
          <w:color w:val="000000" w:themeColor="text1"/>
          <w:sz w:val="32"/>
          <w:szCs w:val="32"/>
          <w:lang w:val="en-US" w:eastAsia="zh-CN"/>
        </w:rPr>
        <w:t>27426</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color w:val="000000" w:themeColor="text1"/>
          <w:sz w:val="32"/>
          <w:szCs w:val="32"/>
          <w:lang w:val="en-US" w:eastAsia="zh-CN"/>
        </w:rPr>
        <w:t>为年初预算的85.7</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w:t>
      </w:r>
    </w:p>
    <w:p w14:paraId="2B21B64D">
      <w:pPr>
        <w:pStyle w:val="26"/>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rPr>
        <w:t>19.捐赠收入</w:t>
      </w:r>
      <w:r>
        <w:rPr>
          <w:rFonts w:hint="eastAsia" w:ascii="仿宋_GB2312" w:hAnsi="仿宋_GB2312" w:eastAsia="仿宋_GB2312" w:cs="仿宋_GB2312"/>
          <w:color w:val="000000" w:themeColor="text1"/>
          <w:sz w:val="32"/>
          <w:szCs w:val="32"/>
          <w:lang w:val="en-US" w:eastAsia="zh-CN"/>
        </w:rPr>
        <w:t>130</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color w:val="000000" w:themeColor="text1"/>
          <w:sz w:val="32"/>
          <w:szCs w:val="32"/>
          <w:lang w:eastAsia="zh-CN"/>
        </w:rPr>
        <w:t>；</w:t>
      </w:r>
    </w:p>
    <w:p w14:paraId="6D35F8B6">
      <w:pPr>
        <w:pStyle w:val="26"/>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rPr>
        <w:t>20.政府住房基金收入</w:t>
      </w:r>
      <w:r>
        <w:rPr>
          <w:rFonts w:hint="eastAsia" w:ascii="仿宋_GB2312" w:hAnsi="仿宋_GB2312" w:eastAsia="仿宋_GB2312" w:cs="仿宋_GB2312"/>
          <w:color w:val="000000" w:themeColor="text1"/>
          <w:sz w:val="32"/>
          <w:szCs w:val="32"/>
          <w:lang w:val="en-US" w:eastAsia="zh-CN"/>
        </w:rPr>
        <w:t>141</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color w:val="000000" w:themeColor="text1"/>
          <w:sz w:val="32"/>
          <w:szCs w:val="32"/>
          <w:lang w:val="en-US" w:eastAsia="zh-CN"/>
        </w:rPr>
        <w:t>为年初预算的188</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w:t>
      </w:r>
    </w:p>
    <w:p w14:paraId="78F122A0">
      <w:pPr>
        <w:pStyle w:val="26"/>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rPr>
        <w:t>21.其他收入</w:t>
      </w:r>
      <w:r>
        <w:rPr>
          <w:rFonts w:hint="eastAsia" w:ascii="仿宋_GB2312" w:hAnsi="仿宋_GB2312" w:eastAsia="仿宋_GB2312" w:cs="仿宋_GB2312"/>
          <w:color w:val="000000" w:themeColor="text1"/>
          <w:sz w:val="32"/>
          <w:szCs w:val="32"/>
          <w:lang w:val="en-US" w:eastAsia="zh-CN"/>
        </w:rPr>
        <w:t>10545</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color w:val="000000" w:themeColor="text1"/>
          <w:sz w:val="32"/>
          <w:szCs w:val="32"/>
          <w:lang w:eastAsia="zh-CN"/>
        </w:rPr>
        <w:t>为年初预算的</w:t>
      </w:r>
      <w:r>
        <w:rPr>
          <w:rFonts w:hint="eastAsia" w:ascii="仿宋_GB2312" w:hAnsi="仿宋_GB2312" w:eastAsia="仿宋_GB2312" w:cs="仿宋_GB2312"/>
          <w:color w:val="000000" w:themeColor="text1"/>
          <w:sz w:val="32"/>
          <w:szCs w:val="32"/>
          <w:lang w:val="en-US" w:eastAsia="zh-CN"/>
        </w:rPr>
        <w:t>238.3</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w:t>
      </w:r>
    </w:p>
    <w:p w14:paraId="5B0713EB">
      <w:pPr>
        <w:pStyle w:val="26"/>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000000" w:themeColor="text1"/>
          <w:sz w:val="32"/>
          <w:szCs w:val="32"/>
        </w:rPr>
      </w:pPr>
    </w:p>
    <w:p w14:paraId="1B495E92">
      <w:pPr>
        <w:pStyle w:val="26"/>
        <w:keepNext w:val="0"/>
        <w:keepLines w:val="0"/>
        <w:pageBreakBefore w:val="0"/>
        <w:widowControl w:val="0"/>
        <w:kinsoku/>
        <w:wordWrap/>
        <w:overflowPunct/>
        <w:topLinePunct w:val="0"/>
        <w:autoSpaceDE/>
        <w:autoSpaceDN/>
        <w:bidi w:val="0"/>
        <w:adjustRightInd/>
        <w:snapToGrid/>
        <w:spacing w:line="572" w:lineRule="exact"/>
        <w:ind w:firstLine="480" w:firstLineChars="150"/>
        <w:textAlignment w:val="auto"/>
        <w:rPr>
          <w:rFonts w:hint="eastAsia" w:ascii="仿宋_GB2312" w:hAnsi="仿宋" w:eastAsia="仿宋_GB2312"/>
          <w:color w:val="000000"/>
          <w:sz w:val="32"/>
          <w:szCs w:val="32"/>
        </w:rPr>
      </w:pPr>
    </w:p>
    <w:p w14:paraId="1CB2FEA8">
      <w:pPr>
        <w:pStyle w:val="26"/>
        <w:keepNext w:val="0"/>
        <w:keepLines w:val="0"/>
        <w:pageBreakBefore w:val="0"/>
        <w:widowControl w:val="0"/>
        <w:kinsoku/>
        <w:wordWrap/>
        <w:overflowPunct/>
        <w:topLinePunct w:val="0"/>
        <w:autoSpaceDE/>
        <w:autoSpaceDN/>
        <w:bidi w:val="0"/>
        <w:adjustRightInd/>
        <w:snapToGrid/>
        <w:spacing w:line="572" w:lineRule="exact"/>
        <w:ind w:firstLine="480" w:firstLineChars="150"/>
        <w:textAlignment w:val="auto"/>
        <w:rPr>
          <w:rFonts w:hint="eastAsia" w:ascii="仿宋_GB2312" w:hAnsi="仿宋" w:eastAsia="仿宋_GB2312"/>
          <w:color w:val="000000"/>
          <w:sz w:val="32"/>
          <w:szCs w:val="32"/>
        </w:rPr>
      </w:pPr>
    </w:p>
    <w:p w14:paraId="2D9A4270">
      <w:pPr>
        <w:pStyle w:val="26"/>
        <w:spacing w:line="600" w:lineRule="exact"/>
        <w:ind w:firstLine="480" w:firstLineChars="150"/>
        <w:rPr>
          <w:rFonts w:hint="eastAsia" w:ascii="仿宋_GB2312" w:hAnsi="仿宋" w:eastAsia="仿宋_GB2312"/>
          <w:color w:val="000000"/>
          <w:sz w:val="32"/>
          <w:szCs w:val="32"/>
        </w:rPr>
      </w:pPr>
    </w:p>
    <w:p w14:paraId="0DE8F9E3">
      <w:pPr>
        <w:pStyle w:val="26"/>
        <w:spacing w:line="600" w:lineRule="exact"/>
        <w:ind w:firstLine="480" w:firstLineChars="150"/>
        <w:rPr>
          <w:rFonts w:hint="eastAsia" w:ascii="仿宋_GB2312" w:hAnsi="仿宋" w:eastAsia="仿宋_GB2312"/>
          <w:color w:val="000000"/>
          <w:sz w:val="32"/>
          <w:szCs w:val="32"/>
        </w:rPr>
      </w:pPr>
    </w:p>
    <w:p w14:paraId="3F592C6B">
      <w:pPr>
        <w:pStyle w:val="26"/>
        <w:spacing w:line="600" w:lineRule="exact"/>
        <w:ind w:firstLine="480" w:firstLineChars="150"/>
        <w:rPr>
          <w:rFonts w:hint="eastAsia" w:ascii="仿宋_GB2312" w:hAnsi="仿宋" w:eastAsia="仿宋_GB2312"/>
          <w:color w:val="000000"/>
          <w:sz w:val="32"/>
          <w:szCs w:val="32"/>
        </w:rPr>
      </w:pPr>
    </w:p>
    <w:p w14:paraId="7CA4630C">
      <w:pPr>
        <w:pStyle w:val="26"/>
        <w:spacing w:line="600" w:lineRule="exact"/>
        <w:ind w:firstLine="480" w:firstLineChars="150"/>
        <w:rPr>
          <w:rFonts w:hint="eastAsia" w:ascii="仿宋_GB2312" w:hAnsi="仿宋" w:eastAsia="仿宋_GB2312"/>
          <w:color w:val="000000"/>
          <w:sz w:val="32"/>
          <w:szCs w:val="32"/>
        </w:rPr>
      </w:pPr>
    </w:p>
    <w:p w14:paraId="00B3C725">
      <w:pPr>
        <w:pStyle w:val="26"/>
        <w:spacing w:line="600" w:lineRule="exact"/>
        <w:ind w:firstLine="480" w:firstLineChars="150"/>
        <w:rPr>
          <w:rFonts w:hint="eastAsia" w:ascii="仿宋_GB2312" w:hAnsi="仿宋" w:eastAsia="仿宋_GB2312"/>
          <w:color w:val="000000"/>
          <w:sz w:val="32"/>
          <w:szCs w:val="32"/>
        </w:rPr>
      </w:pPr>
    </w:p>
    <w:p w14:paraId="7AF09430">
      <w:pPr>
        <w:pStyle w:val="26"/>
        <w:spacing w:line="600" w:lineRule="exact"/>
        <w:ind w:firstLine="480" w:firstLineChars="150"/>
        <w:rPr>
          <w:rFonts w:hint="eastAsia" w:ascii="仿宋_GB2312" w:hAnsi="仿宋" w:eastAsia="仿宋_GB2312"/>
          <w:color w:val="000000"/>
          <w:sz w:val="32"/>
          <w:szCs w:val="32"/>
        </w:rPr>
      </w:pPr>
    </w:p>
    <w:p w14:paraId="531A98BA">
      <w:pPr>
        <w:pStyle w:val="26"/>
        <w:spacing w:line="600" w:lineRule="exact"/>
        <w:ind w:firstLine="480" w:firstLineChars="150"/>
        <w:rPr>
          <w:rFonts w:hint="eastAsia" w:ascii="仿宋_GB2312" w:hAnsi="仿宋" w:eastAsia="仿宋_GB2312"/>
          <w:color w:val="000000"/>
          <w:sz w:val="32"/>
          <w:szCs w:val="32"/>
        </w:rPr>
      </w:pPr>
    </w:p>
    <w:p w14:paraId="3C3C00D7">
      <w:pPr>
        <w:pStyle w:val="26"/>
        <w:spacing w:line="600" w:lineRule="exact"/>
        <w:ind w:firstLine="480" w:firstLineChars="150"/>
        <w:rPr>
          <w:rFonts w:hint="eastAsia" w:ascii="仿宋_GB2312" w:hAnsi="仿宋" w:eastAsia="仿宋_GB2312"/>
          <w:color w:val="000000"/>
          <w:sz w:val="32"/>
          <w:szCs w:val="32"/>
        </w:rPr>
      </w:pPr>
    </w:p>
    <w:p w14:paraId="4204C497">
      <w:pPr>
        <w:pStyle w:val="26"/>
        <w:spacing w:line="600" w:lineRule="exact"/>
        <w:ind w:firstLine="480" w:firstLineChars="150"/>
        <w:rPr>
          <w:rFonts w:hint="eastAsia" w:ascii="仿宋_GB2312" w:hAnsi="仿宋" w:eastAsia="仿宋_GB2312"/>
          <w:color w:val="000000"/>
          <w:sz w:val="32"/>
          <w:szCs w:val="32"/>
        </w:rPr>
      </w:pPr>
    </w:p>
    <w:p w14:paraId="2A75DB9A">
      <w:pPr>
        <w:pStyle w:val="26"/>
        <w:spacing w:line="600" w:lineRule="exact"/>
        <w:ind w:firstLine="480" w:firstLineChars="150"/>
        <w:rPr>
          <w:rFonts w:hint="eastAsia" w:ascii="仿宋_GB2312" w:hAnsi="仿宋" w:eastAsia="仿宋_GB2312"/>
          <w:color w:val="000000"/>
          <w:sz w:val="32"/>
          <w:szCs w:val="32"/>
        </w:rPr>
      </w:pPr>
    </w:p>
    <w:p w14:paraId="0F54F039">
      <w:pPr>
        <w:pStyle w:val="26"/>
        <w:spacing w:line="600" w:lineRule="exact"/>
        <w:ind w:left="0" w:leftChars="0" w:firstLine="0" w:firstLineChars="0"/>
        <w:rPr>
          <w:rFonts w:hint="eastAsia" w:ascii="仿宋_GB2312" w:hAnsi="仿宋" w:eastAsia="仿宋_GB2312"/>
          <w:color w:val="000000"/>
          <w:sz w:val="32"/>
          <w:szCs w:val="32"/>
        </w:rPr>
      </w:pPr>
    </w:p>
    <w:tbl>
      <w:tblPr>
        <w:tblStyle w:val="20"/>
        <w:tblW w:w="90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41"/>
        <w:gridCol w:w="1930"/>
        <w:gridCol w:w="1749"/>
        <w:gridCol w:w="2259"/>
      </w:tblGrid>
      <w:tr w14:paraId="5EA1A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jc w:val="center"/>
        </w:trPr>
        <w:tc>
          <w:tcPr>
            <w:tcW w:w="5071" w:type="dxa"/>
            <w:gridSpan w:val="2"/>
            <w:tcBorders>
              <w:top w:val="nil"/>
              <w:left w:val="nil"/>
              <w:bottom w:val="nil"/>
              <w:right w:val="nil"/>
            </w:tcBorders>
            <w:shd w:val="clear" w:color="auto" w:fill="auto"/>
            <w:vAlign w:val="center"/>
          </w:tcPr>
          <w:p w14:paraId="508E2C04">
            <w:pPr>
              <w:keepNext w:val="0"/>
              <w:keepLines w:val="0"/>
              <w:widowControl/>
              <w:suppressLineNumbers w:val="0"/>
              <w:jc w:val="left"/>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表三</w:t>
            </w:r>
          </w:p>
        </w:tc>
        <w:tc>
          <w:tcPr>
            <w:tcW w:w="4008" w:type="dxa"/>
            <w:gridSpan w:val="2"/>
            <w:tcBorders>
              <w:top w:val="nil"/>
              <w:left w:val="nil"/>
              <w:bottom w:val="nil"/>
              <w:right w:val="nil"/>
            </w:tcBorders>
            <w:shd w:val="clear" w:color="auto" w:fill="auto"/>
            <w:vAlign w:val="center"/>
          </w:tcPr>
          <w:p w14:paraId="472164E2">
            <w:pPr>
              <w:jc w:val="left"/>
              <w:rPr>
                <w:rFonts w:hint="eastAsia" w:ascii="宋体" w:hAnsi="宋体" w:eastAsia="宋体" w:cs="宋体"/>
                <w:i w:val="0"/>
                <w:iCs w:val="0"/>
                <w:color w:val="000000"/>
                <w:sz w:val="24"/>
                <w:szCs w:val="24"/>
                <w:u w:val="none"/>
              </w:rPr>
            </w:pPr>
          </w:p>
        </w:tc>
      </w:tr>
      <w:tr w14:paraId="47C06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jc w:val="center"/>
        </w:trPr>
        <w:tc>
          <w:tcPr>
            <w:tcW w:w="9079" w:type="dxa"/>
            <w:gridSpan w:val="4"/>
            <w:tcBorders>
              <w:top w:val="nil"/>
              <w:left w:val="nil"/>
              <w:bottom w:val="nil"/>
              <w:right w:val="nil"/>
            </w:tcBorders>
            <w:shd w:val="clear" w:color="auto" w:fill="auto"/>
            <w:vAlign w:val="center"/>
          </w:tcPr>
          <w:p w14:paraId="61054DD5">
            <w:pPr>
              <w:keepNext w:val="0"/>
              <w:keepLines w:val="0"/>
              <w:widowControl/>
              <w:suppressLineNumbers w:val="0"/>
              <w:jc w:val="center"/>
              <w:textAlignment w:val="center"/>
              <w:rPr>
                <w:rFonts w:ascii="方正小标宋简体" w:hAnsi="方正小标宋简体" w:eastAsia="方正小标宋简体" w:cs="方正小标宋简体"/>
                <w:b w:val="0"/>
                <w:bCs w:val="0"/>
                <w:i w:val="0"/>
                <w:iCs w:val="0"/>
                <w:color w:val="000000"/>
                <w:sz w:val="44"/>
                <w:szCs w:val="44"/>
                <w:u w:val="none"/>
              </w:rPr>
            </w:pPr>
            <w:r>
              <w:rPr>
                <w:rFonts w:hint="default" w:ascii="方正小标宋简体" w:hAnsi="方正小标宋简体" w:eastAsia="方正小标宋简体" w:cs="方正小标宋简体"/>
                <w:b w:val="0"/>
                <w:bCs w:val="0"/>
                <w:i w:val="0"/>
                <w:iCs w:val="0"/>
                <w:color w:val="000000"/>
                <w:kern w:val="0"/>
                <w:sz w:val="44"/>
                <w:szCs w:val="44"/>
                <w:u w:val="none"/>
                <w:lang w:val="en-US" w:eastAsia="zh-CN" w:bidi="ar"/>
              </w:rPr>
              <w:t>202</w:t>
            </w: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5</w:t>
            </w:r>
            <w:r>
              <w:rPr>
                <w:rFonts w:hint="default" w:ascii="方正小标宋简体" w:hAnsi="方正小标宋简体" w:eastAsia="方正小标宋简体" w:cs="方正小标宋简体"/>
                <w:b w:val="0"/>
                <w:bCs w:val="0"/>
                <w:i w:val="0"/>
                <w:iCs w:val="0"/>
                <w:color w:val="000000"/>
                <w:kern w:val="0"/>
                <w:sz w:val="44"/>
                <w:szCs w:val="44"/>
                <w:u w:val="none"/>
                <w:lang w:val="en-US" w:eastAsia="zh-CN" w:bidi="ar"/>
              </w:rPr>
              <w:t>年一般公共预算支出执行情况表</w:t>
            </w:r>
          </w:p>
        </w:tc>
      </w:tr>
      <w:tr w14:paraId="01385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jc w:val="center"/>
        </w:trPr>
        <w:tc>
          <w:tcPr>
            <w:tcW w:w="3141" w:type="dxa"/>
            <w:tcBorders>
              <w:top w:val="nil"/>
              <w:left w:val="nil"/>
              <w:bottom w:val="nil"/>
              <w:right w:val="nil"/>
            </w:tcBorders>
            <w:shd w:val="clear" w:color="auto" w:fill="auto"/>
            <w:vAlign w:val="center"/>
          </w:tcPr>
          <w:p w14:paraId="0B756AD8">
            <w:pPr>
              <w:jc w:val="left"/>
              <w:rPr>
                <w:rFonts w:hint="eastAsia" w:ascii="宋体" w:hAnsi="宋体" w:eastAsia="宋体" w:cs="宋体"/>
                <w:i w:val="0"/>
                <w:iCs w:val="0"/>
                <w:color w:val="000000"/>
                <w:sz w:val="24"/>
                <w:szCs w:val="24"/>
                <w:u w:val="none"/>
              </w:rPr>
            </w:pPr>
          </w:p>
        </w:tc>
        <w:tc>
          <w:tcPr>
            <w:tcW w:w="3679" w:type="dxa"/>
            <w:gridSpan w:val="2"/>
            <w:tcBorders>
              <w:top w:val="nil"/>
              <w:left w:val="nil"/>
              <w:bottom w:val="nil"/>
              <w:right w:val="nil"/>
            </w:tcBorders>
            <w:shd w:val="clear" w:color="auto" w:fill="auto"/>
            <w:vAlign w:val="center"/>
          </w:tcPr>
          <w:p w14:paraId="56312625">
            <w:pPr>
              <w:jc w:val="left"/>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  </w:t>
            </w:r>
          </w:p>
        </w:tc>
        <w:tc>
          <w:tcPr>
            <w:tcW w:w="2259" w:type="dxa"/>
            <w:tcBorders>
              <w:top w:val="nil"/>
              <w:left w:val="nil"/>
              <w:bottom w:val="single" w:color="000000" w:sz="8" w:space="0"/>
              <w:right w:val="nil"/>
            </w:tcBorders>
            <w:shd w:val="clear" w:color="auto" w:fill="auto"/>
            <w:vAlign w:val="center"/>
          </w:tcPr>
          <w:p w14:paraId="5DA161A3">
            <w:pPr>
              <w:keepNext w:val="0"/>
              <w:keepLines w:val="0"/>
              <w:widowControl/>
              <w:suppressLineNumbers w:val="0"/>
              <w:ind w:firstLine="720" w:firstLineChars="3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04442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2" w:hRule="atLeast"/>
          <w:jc w:val="center"/>
        </w:trPr>
        <w:tc>
          <w:tcPr>
            <w:tcW w:w="31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BA56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  目</w:t>
            </w:r>
          </w:p>
        </w:tc>
        <w:tc>
          <w:tcPr>
            <w:tcW w:w="1930" w:type="dxa"/>
            <w:tcBorders>
              <w:top w:val="single" w:color="000000" w:sz="8" w:space="0"/>
              <w:left w:val="nil"/>
              <w:bottom w:val="single" w:color="000000" w:sz="8" w:space="0"/>
              <w:right w:val="nil"/>
            </w:tcBorders>
            <w:shd w:val="clear" w:color="auto" w:fill="auto"/>
            <w:vAlign w:val="center"/>
          </w:tcPr>
          <w:p w14:paraId="1338C5D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调整预算数</w:t>
            </w:r>
          </w:p>
        </w:tc>
        <w:tc>
          <w:tcPr>
            <w:tcW w:w="17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70BA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执行数</w:t>
            </w:r>
          </w:p>
        </w:tc>
        <w:tc>
          <w:tcPr>
            <w:tcW w:w="2259" w:type="dxa"/>
            <w:tcBorders>
              <w:top w:val="single" w:color="000000" w:sz="8" w:space="0"/>
              <w:left w:val="nil"/>
              <w:bottom w:val="single" w:color="000000" w:sz="8" w:space="0"/>
              <w:right w:val="single" w:color="000000" w:sz="8" w:space="0"/>
            </w:tcBorders>
            <w:shd w:val="clear" w:color="auto" w:fill="auto"/>
            <w:vAlign w:val="center"/>
          </w:tcPr>
          <w:p w14:paraId="71ECD4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为调整预算数%</w:t>
            </w:r>
          </w:p>
        </w:tc>
      </w:tr>
      <w:tr w14:paraId="0245C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6" w:hRule="atLeast"/>
          <w:jc w:val="center"/>
        </w:trPr>
        <w:tc>
          <w:tcPr>
            <w:tcW w:w="3141" w:type="dxa"/>
            <w:tcBorders>
              <w:top w:val="nil"/>
              <w:left w:val="single" w:color="000000" w:sz="8" w:space="0"/>
              <w:bottom w:val="single" w:color="000000" w:sz="8" w:space="0"/>
              <w:right w:val="single" w:color="000000" w:sz="8" w:space="0"/>
            </w:tcBorders>
            <w:shd w:val="clear" w:color="auto" w:fill="auto"/>
            <w:vAlign w:val="center"/>
          </w:tcPr>
          <w:p w14:paraId="201AEF4A">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一般公共服务支出</w:t>
            </w:r>
          </w:p>
        </w:tc>
        <w:tc>
          <w:tcPr>
            <w:tcW w:w="1930" w:type="dxa"/>
            <w:tcBorders>
              <w:top w:val="nil"/>
              <w:left w:val="nil"/>
              <w:bottom w:val="single" w:color="000000" w:sz="8" w:space="0"/>
              <w:right w:val="single" w:color="000000" w:sz="8" w:space="0"/>
            </w:tcBorders>
            <w:shd w:val="clear" w:color="auto" w:fill="auto"/>
            <w:vAlign w:val="center"/>
          </w:tcPr>
          <w:p w14:paraId="4B70853D">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53724</w:t>
            </w:r>
          </w:p>
        </w:tc>
        <w:tc>
          <w:tcPr>
            <w:tcW w:w="1749" w:type="dxa"/>
            <w:tcBorders>
              <w:top w:val="nil"/>
              <w:left w:val="nil"/>
              <w:bottom w:val="single" w:color="000000" w:sz="8" w:space="0"/>
              <w:right w:val="single" w:color="000000" w:sz="8" w:space="0"/>
            </w:tcBorders>
            <w:shd w:val="clear" w:color="auto" w:fill="auto"/>
            <w:vAlign w:val="center"/>
          </w:tcPr>
          <w:p w14:paraId="2110253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54899</w:t>
            </w:r>
          </w:p>
        </w:tc>
        <w:tc>
          <w:tcPr>
            <w:tcW w:w="2259" w:type="dxa"/>
            <w:tcBorders>
              <w:top w:val="nil"/>
              <w:left w:val="nil"/>
              <w:bottom w:val="single" w:color="000000" w:sz="8" w:space="0"/>
              <w:right w:val="single" w:color="000000" w:sz="8" w:space="0"/>
            </w:tcBorders>
            <w:shd w:val="clear" w:color="auto" w:fill="auto"/>
            <w:vAlign w:val="center"/>
          </w:tcPr>
          <w:p w14:paraId="5341ED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102.2%</w:t>
            </w:r>
          </w:p>
        </w:tc>
      </w:tr>
      <w:tr w14:paraId="60F0F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6" w:hRule="atLeast"/>
          <w:jc w:val="center"/>
        </w:trPr>
        <w:tc>
          <w:tcPr>
            <w:tcW w:w="3141" w:type="dxa"/>
            <w:tcBorders>
              <w:top w:val="nil"/>
              <w:left w:val="single" w:color="000000" w:sz="8" w:space="0"/>
              <w:bottom w:val="single" w:color="000000" w:sz="8" w:space="0"/>
              <w:right w:val="single" w:color="000000" w:sz="8" w:space="0"/>
            </w:tcBorders>
            <w:shd w:val="clear" w:color="auto" w:fill="auto"/>
            <w:vAlign w:val="center"/>
          </w:tcPr>
          <w:p w14:paraId="2A980518">
            <w:pPr>
              <w:keepNext w:val="0"/>
              <w:keepLines w:val="0"/>
              <w:widowControl/>
              <w:suppressLineNumbers w:val="0"/>
              <w:jc w:val="center"/>
              <w:textAlignment w:val="center"/>
              <w:rPr>
                <w:rFonts w:hint="default" w:ascii="宋体" w:hAnsi="宋体" w:eastAsia="宋体" w:cs="宋体"/>
                <w:b w:val="0"/>
                <w:bCs/>
                <w:i w:val="0"/>
                <w:iCs w:val="0"/>
                <w:color w:val="000000"/>
                <w:sz w:val="24"/>
                <w:szCs w:val="24"/>
                <w:u w:val="none"/>
                <w:lang w:val="en-US" w:eastAsia="zh-CN"/>
              </w:rPr>
            </w:pPr>
            <w:r>
              <w:rPr>
                <w:rFonts w:hint="eastAsia" w:ascii="宋体" w:hAnsi="宋体" w:eastAsia="宋体" w:cs="宋体"/>
                <w:b w:val="0"/>
                <w:bCs/>
                <w:i w:val="0"/>
                <w:iCs w:val="0"/>
                <w:color w:val="000000"/>
                <w:sz w:val="24"/>
                <w:szCs w:val="24"/>
                <w:u w:val="none"/>
                <w:lang w:val="en-US" w:eastAsia="zh-CN"/>
              </w:rPr>
              <w:t>国防支出</w:t>
            </w:r>
          </w:p>
        </w:tc>
        <w:tc>
          <w:tcPr>
            <w:tcW w:w="1930" w:type="dxa"/>
            <w:tcBorders>
              <w:top w:val="nil"/>
              <w:left w:val="nil"/>
              <w:bottom w:val="single" w:color="000000" w:sz="8" w:space="0"/>
              <w:right w:val="single" w:color="000000" w:sz="8" w:space="0"/>
            </w:tcBorders>
            <w:shd w:val="clear" w:color="auto" w:fill="auto"/>
            <w:vAlign w:val="center"/>
          </w:tcPr>
          <w:p w14:paraId="205C2BD4">
            <w:pPr>
              <w:keepNext w:val="0"/>
              <w:keepLines w:val="0"/>
              <w:widowControl/>
              <w:suppressLineNumbers w:val="0"/>
              <w:jc w:val="center"/>
              <w:textAlignment w:val="center"/>
              <w:rPr>
                <w:rFonts w:hint="default" w:ascii="宋体" w:hAnsi="宋体" w:eastAsia="宋体" w:cs="宋体"/>
                <w:b w:val="0"/>
                <w:bCs/>
                <w:i w:val="0"/>
                <w:iCs w:val="0"/>
                <w:color w:val="000000"/>
                <w:sz w:val="24"/>
                <w:szCs w:val="24"/>
                <w:u w:val="none"/>
                <w:lang w:val="en-US"/>
              </w:rPr>
            </w:pPr>
            <w:r>
              <w:rPr>
                <w:rFonts w:hint="eastAsia" w:ascii="宋体" w:hAnsi="宋体" w:eastAsia="宋体" w:cs="宋体"/>
                <w:b w:val="0"/>
                <w:bCs/>
                <w:i w:val="0"/>
                <w:color w:val="000000"/>
                <w:kern w:val="0"/>
                <w:sz w:val="24"/>
                <w:szCs w:val="24"/>
                <w:u w:val="none"/>
                <w:lang w:val="en-US" w:eastAsia="zh-CN" w:bidi="ar"/>
              </w:rPr>
              <w:t>102</w:t>
            </w:r>
          </w:p>
        </w:tc>
        <w:tc>
          <w:tcPr>
            <w:tcW w:w="1749" w:type="dxa"/>
            <w:tcBorders>
              <w:top w:val="nil"/>
              <w:left w:val="nil"/>
              <w:bottom w:val="single" w:color="000000" w:sz="8" w:space="0"/>
              <w:right w:val="single" w:color="000000" w:sz="8" w:space="0"/>
            </w:tcBorders>
            <w:shd w:val="clear" w:color="auto" w:fill="auto"/>
            <w:vAlign w:val="center"/>
          </w:tcPr>
          <w:p w14:paraId="13225F6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102</w:t>
            </w:r>
          </w:p>
        </w:tc>
        <w:tc>
          <w:tcPr>
            <w:tcW w:w="2259" w:type="dxa"/>
            <w:tcBorders>
              <w:top w:val="nil"/>
              <w:left w:val="nil"/>
              <w:bottom w:val="single" w:color="000000" w:sz="8" w:space="0"/>
              <w:right w:val="single" w:color="000000" w:sz="8" w:space="0"/>
            </w:tcBorders>
            <w:shd w:val="clear" w:color="auto" w:fill="auto"/>
            <w:vAlign w:val="center"/>
          </w:tcPr>
          <w:p w14:paraId="244CB0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r>
      <w:tr w14:paraId="5D1A9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6" w:hRule="atLeast"/>
          <w:jc w:val="center"/>
        </w:trPr>
        <w:tc>
          <w:tcPr>
            <w:tcW w:w="3141" w:type="dxa"/>
            <w:tcBorders>
              <w:top w:val="nil"/>
              <w:left w:val="single" w:color="000000" w:sz="8" w:space="0"/>
              <w:bottom w:val="single" w:color="000000" w:sz="8" w:space="0"/>
              <w:right w:val="single" w:color="000000" w:sz="8" w:space="0"/>
            </w:tcBorders>
            <w:shd w:val="clear" w:color="auto" w:fill="auto"/>
            <w:vAlign w:val="center"/>
          </w:tcPr>
          <w:p w14:paraId="747B3522">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公共安全支出</w:t>
            </w:r>
          </w:p>
        </w:tc>
        <w:tc>
          <w:tcPr>
            <w:tcW w:w="1930" w:type="dxa"/>
            <w:tcBorders>
              <w:top w:val="nil"/>
              <w:left w:val="nil"/>
              <w:bottom w:val="single" w:color="000000" w:sz="8" w:space="0"/>
              <w:right w:val="single" w:color="000000" w:sz="8" w:space="0"/>
            </w:tcBorders>
            <w:shd w:val="clear" w:color="auto" w:fill="auto"/>
            <w:vAlign w:val="center"/>
          </w:tcPr>
          <w:p w14:paraId="45D87BD2">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14770</w:t>
            </w:r>
          </w:p>
        </w:tc>
        <w:tc>
          <w:tcPr>
            <w:tcW w:w="1749" w:type="dxa"/>
            <w:tcBorders>
              <w:top w:val="nil"/>
              <w:left w:val="nil"/>
              <w:bottom w:val="single" w:color="000000" w:sz="8" w:space="0"/>
              <w:right w:val="single" w:color="000000" w:sz="8" w:space="0"/>
            </w:tcBorders>
            <w:shd w:val="clear" w:color="auto" w:fill="auto"/>
            <w:vAlign w:val="center"/>
          </w:tcPr>
          <w:p w14:paraId="497A6FB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14813</w:t>
            </w:r>
          </w:p>
        </w:tc>
        <w:tc>
          <w:tcPr>
            <w:tcW w:w="2259" w:type="dxa"/>
            <w:tcBorders>
              <w:top w:val="nil"/>
              <w:left w:val="nil"/>
              <w:bottom w:val="single" w:color="000000" w:sz="8" w:space="0"/>
              <w:right w:val="single" w:color="000000" w:sz="8" w:space="0"/>
            </w:tcBorders>
            <w:shd w:val="clear" w:color="auto" w:fill="auto"/>
            <w:vAlign w:val="center"/>
          </w:tcPr>
          <w:p w14:paraId="52F39D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100.3%</w:t>
            </w:r>
          </w:p>
        </w:tc>
      </w:tr>
      <w:tr w14:paraId="0E77C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6" w:hRule="atLeast"/>
          <w:jc w:val="center"/>
        </w:trPr>
        <w:tc>
          <w:tcPr>
            <w:tcW w:w="3141" w:type="dxa"/>
            <w:tcBorders>
              <w:top w:val="nil"/>
              <w:left w:val="single" w:color="000000" w:sz="8" w:space="0"/>
              <w:bottom w:val="single" w:color="000000" w:sz="8" w:space="0"/>
              <w:right w:val="single" w:color="000000" w:sz="8" w:space="0"/>
            </w:tcBorders>
            <w:shd w:val="clear" w:color="auto" w:fill="auto"/>
            <w:vAlign w:val="center"/>
          </w:tcPr>
          <w:p w14:paraId="197F17CA">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教育支出</w:t>
            </w:r>
          </w:p>
        </w:tc>
        <w:tc>
          <w:tcPr>
            <w:tcW w:w="1930" w:type="dxa"/>
            <w:tcBorders>
              <w:top w:val="nil"/>
              <w:left w:val="nil"/>
              <w:bottom w:val="single" w:color="000000" w:sz="8" w:space="0"/>
              <w:right w:val="single" w:color="000000" w:sz="8" w:space="0"/>
            </w:tcBorders>
            <w:shd w:val="clear" w:color="auto" w:fill="auto"/>
            <w:vAlign w:val="center"/>
          </w:tcPr>
          <w:p w14:paraId="7B70D756">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93286</w:t>
            </w:r>
          </w:p>
        </w:tc>
        <w:tc>
          <w:tcPr>
            <w:tcW w:w="1749" w:type="dxa"/>
            <w:tcBorders>
              <w:top w:val="nil"/>
              <w:left w:val="nil"/>
              <w:bottom w:val="single" w:color="000000" w:sz="8" w:space="0"/>
              <w:right w:val="single" w:color="000000" w:sz="8" w:space="0"/>
            </w:tcBorders>
            <w:shd w:val="clear" w:color="auto" w:fill="auto"/>
            <w:vAlign w:val="center"/>
          </w:tcPr>
          <w:p w14:paraId="6FD7A7B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94673</w:t>
            </w:r>
          </w:p>
        </w:tc>
        <w:tc>
          <w:tcPr>
            <w:tcW w:w="2259" w:type="dxa"/>
            <w:tcBorders>
              <w:top w:val="nil"/>
              <w:left w:val="nil"/>
              <w:bottom w:val="single" w:color="000000" w:sz="8" w:space="0"/>
              <w:right w:val="single" w:color="000000" w:sz="8" w:space="0"/>
            </w:tcBorders>
            <w:shd w:val="clear" w:color="auto" w:fill="auto"/>
            <w:vAlign w:val="center"/>
          </w:tcPr>
          <w:p w14:paraId="247FE8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101.5%</w:t>
            </w:r>
          </w:p>
        </w:tc>
      </w:tr>
      <w:tr w14:paraId="7B616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6" w:hRule="atLeast"/>
          <w:jc w:val="center"/>
        </w:trPr>
        <w:tc>
          <w:tcPr>
            <w:tcW w:w="3141" w:type="dxa"/>
            <w:tcBorders>
              <w:top w:val="nil"/>
              <w:left w:val="single" w:color="000000" w:sz="8" w:space="0"/>
              <w:bottom w:val="single" w:color="000000" w:sz="8" w:space="0"/>
              <w:right w:val="single" w:color="000000" w:sz="8" w:space="0"/>
            </w:tcBorders>
            <w:shd w:val="clear" w:color="auto" w:fill="auto"/>
            <w:vAlign w:val="center"/>
          </w:tcPr>
          <w:p w14:paraId="09A9A6FB">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科学技术支出</w:t>
            </w:r>
          </w:p>
        </w:tc>
        <w:tc>
          <w:tcPr>
            <w:tcW w:w="1930" w:type="dxa"/>
            <w:tcBorders>
              <w:top w:val="nil"/>
              <w:left w:val="nil"/>
              <w:bottom w:val="single" w:color="000000" w:sz="8" w:space="0"/>
              <w:right w:val="single" w:color="000000" w:sz="8" w:space="0"/>
            </w:tcBorders>
            <w:shd w:val="clear" w:color="auto" w:fill="auto"/>
            <w:vAlign w:val="center"/>
          </w:tcPr>
          <w:p w14:paraId="3368126D">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21131</w:t>
            </w:r>
          </w:p>
        </w:tc>
        <w:tc>
          <w:tcPr>
            <w:tcW w:w="1749" w:type="dxa"/>
            <w:tcBorders>
              <w:top w:val="nil"/>
              <w:left w:val="nil"/>
              <w:bottom w:val="single" w:color="000000" w:sz="8" w:space="0"/>
              <w:right w:val="single" w:color="000000" w:sz="8" w:space="0"/>
            </w:tcBorders>
            <w:shd w:val="clear" w:color="auto" w:fill="auto"/>
            <w:vAlign w:val="center"/>
          </w:tcPr>
          <w:p w14:paraId="3E816A9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21183</w:t>
            </w:r>
          </w:p>
        </w:tc>
        <w:tc>
          <w:tcPr>
            <w:tcW w:w="2259" w:type="dxa"/>
            <w:tcBorders>
              <w:top w:val="nil"/>
              <w:left w:val="nil"/>
              <w:bottom w:val="single" w:color="000000" w:sz="8" w:space="0"/>
              <w:right w:val="single" w:color="000000" w:sz="8" w:space="0"/>
            </w:tcBorders>
            <w:shd w:val="clear" w:color="auto" w:fill="auto"/>
            <w:vAlign w:val="center"/>
          </w:tcPr>
          <w:p w14:paraId="391E63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100.2%</w:t>
            </w:r>
          </w:p>
        </w:tc>
      </w:tr>
      <w:tr w14:paraId="6BBD3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6" w:hRule="atLeast"/>
          <w:jc w:val="center"/>
        </w:trPr>
        <w:tc>
          <w:tcPr>
            <w:tcW w:w="3141" w:type="dxa"/>
            <w:tcBorders>
              <w:top w:val="nil"/>
              <w:left w:val="single" w:color="000000" w:sz="8" w:space="0"/>
              <w:bottom w:val="single" w:color="000000" w:sz="8" w:space="0"/>
              <w:right w:val="single" w:color="000000" w:sz="8" w:space="0"/>
            </w:tcBorders>
            <w:shd w:val="clear" w:color="auto" w:fill="auto"/>
            <w:vAlign w:val="center"/>
          </w:tcPr>
          <w:p w14:paraId="677595F1">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文化旅游体育与传媒支出</w:t>
            </w:r>
          </w:p>
        </w:tc>
        <w:tc>
          <w:tcPr>
            <w:tcW w:w="1930" w:type="dxa"/>
            <w:tcBorders>
              <w:top w:val="nil"/>
              <w:left w:val="nil"/>
              <w:bottom w:val="single" w:color="000000" w:sz="8" w:space="0"/>
              <w:right w:val="single" w:color="000000" w:sz="8" w:space="0"/>
            </w:tcBorders>
            <w:shd w:val="clear" w:color="auto" w:fill="auto"/>
            <w:vAlign w:val="center"/>
          </w:tcPr>
          <w:p w14:paraId="60BA8314">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4189</w:t>
            </w:r>
          </w:p>
        </w:tc>
        <w:tc>
          <w:tcPr>
            <w:tcW w:w="1749" w:type="dxa"/>
            <w:tcBorders>
              <w:top w:val="nil"/>
              <w:left w:val="nil"/>
              <w:bottom w:val="single" w:color="000000" w:sz="8" w:space="0"/>
              <w:right w:val="single" w:color="000000" w:sz="8" w:space="0"/>
            </w:tcBorders>
            <w:shd w:val="clear" w:color="auto" w:fill="auto"/>
            <w:vAlign w:val="center"/>
          </w:tcPr>
          <w:p w14:paraId="1178022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4390</w:t>
            </w:r>
          </w:p>
        </w:tc>
        <w:tc>
          <w:tcPr>
            <w:tcW w:w="2259" w:type="dxa"/>
            <w:tcBorders>
              <w:top w:val="nil"/>
              <w:left w:val="nil"/>
              <w:bottom w:val="single" w:color="000000" w:sz="8" w:space="0"/>
              <w:right w:val="single" w:color="000000" w:sz="8" w:space="0"/>
            </w:tcBorders>
            <w:shd w:val="clear" w:color="auto" w:fill="auto"/>
            <w:vAlign w:val="center"/>
          </w:tcPr>
          <w:p w14:paraId="268031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104.8%</w:t>
            </w:r>
          </w:p>
        </w:tc>
      </w:tr>
      <w:tr w14:paraId="2094A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6" w:hRule="atLeast"/>
          <w:jc w:val="center"/>
        </w:trPr>
        <w:tc>
          <w:tcPr>
            <w:tcW w:w="3141" w:type="dxa"/>
            <w:tcBorders>
              <w:top w:val="nil"/>
              <w:left w:val="single" w:color="000000" w:sz="8" w:space="0"/>
              <w:bottom w:val="single" w:color="000000" w:sz="8" w:space="0"/>
              <w:right w:val="single" w:color="000000" w:sz="8" w:space="0"/>
            </w:tcBorders>
            <w:shd w:val="clear" w:color="auto" w:fill="auto"/>
            <w:vAlign w:val="center"/>
          </w:tcPr>
          <w:p w14:paraId="3550F20A">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社会保障和就业支出</w:t>
            </w:r>
          </w:p>
        </w:tc>
        <w:tc>
          <w:tcPr>
            <w:tcW w:w="1930" w:type="dxa"/>
            <w:tcBorders>
              <w:top w:val="nil"/>
              <w:left w:val="nil"/>
              <w:bottom w:val="single" w:color="000000" w:sz="8" w:space="0"/>
              <w:right w:val="single" w:color="000000" w:sz="8" w:space="0"/>
            </w:tcBorders>
            <w:shd w:val="clear" w:color="auto" w:fill="auto"/>
            <w:vAlign w:val="center"/>
          </w:tcPr>
          <w:p w14:paraId="17C49523">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70717</w:t>
            </w:r>
          </w:p>
        </w:tc>
        <w:tc>
          <w:tcPr>
            <w:tcW w:w="1749" w:type="dxa"/>
            <w:tcBorders>
              <w:top w:val="nil"/>
              <w:left w:val="nil"/>
              <w:bottom w:val="single" w:color="000000" w:sz="8" w:space="0"/>
              <w:right w:val="single" w:color="000000" w:sz="8" w:space="0"/>
            </w:tcBorders>
            <w:shd w:val="clear" w:color="auto" w:fill="auto"/>
            <w:vAlign w:val="center"/>
          </w:tcPr>
          <w:p w14:paraId="1D86F5A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67396</w:t>
            </w:r>
          </w:p>
        </w:tc>
        <w:tc>
          <w:tcPr>
            <w:tcW w:w="2259" w:type="dxa"/>
            <w:tcBorders>
              <w:top w:val="nil"/>
              <w:left w:val="nil"/>
              <w:bottom w:val="single" w:color="000000" w:sz="8" w:space="0"/>
              <w:right w:val="single" w:color="000000" w:sz="8" w:space="0"/>
            </w:tcBorders>
            <w:shd w:val="clear" w:color="auto" w:fill="auto"/>
            <w:vAlign w:val="center"/>
          </w:tcPr>
          <w:p w14:paraId="762F7E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95.3%</w:t>
            </w:r>
          </w:p>
        </w:tc>
      </w:tr>
      <w:tr w14:paraId="3D4A5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6" w:hRule="atLeast"/>
          <w:jc w:val="center"/>
        </w:trPr>
        <w:tc>
          <w:tcPr>
            <w:tcW w:w="3141" w:type="dxa"/>
            <w:tcBorders>
              <w:top w:val="nil"/>
              <w:left w:val="single" w:color="000000" w:sz="8" w:space="0"/>
              <w:bottom w:val="single" w:color="000000" w:sz="8" w:space="0"/>
              <w:right w:val="single" w:color="000000" w:sz="8" w:space="0"/>
            </w:tcBorders>
            <w:shd w:val="clear" w:color="auto" w:fill="auto"/>
            <w:vAlign w:val="center"/>
          </w:tcPr>
          <w:p w14:paraId="7CC9C700">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卫生健康支出</w:t>
            </w:r>
          </w:p>
        </w:tc>
        <w:tc>
          <w:tcPr>
            <w:tcW w:w="1930" w:type="dxa"/>
            <w:tcBorders>
              <w:top w:val="nil"/>
              <w:left w:val="nil"/>
              <w:bottom w:val="single" w:color="000000" w:sz="8" w:space="0"/>
              <w:right w:val="single" w:color="000000" w:sz="8" w:space="0"/>
            </w:tcBorders>
            <w:shd w:val="clear" w:color="auto" w:fill="auto"/>
            <w:vAlign w:val="center"/>
          </w:tcPr>
          <w:p w14:paraId="3BE7E6C9">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27478</w:t>
            </w:r>
          </w:p>
        </w:tc>
        <w:tc>
          <w:tcPr>
            <w:tcW w:w="1749" w:type="dxa"/>
            <w:tcBorders>
              <w:top w:val="nil"/>
              <w:left w:val="nil"/>
              <w:bottom w:val="single" w:color="000000" w:sz="8" w:space="0"/>
              <w:right w:val="single" w:color="000000" w:sz="8" w:space="0"/>
            </w:tcBorders>
            <w:shd w:val="clear" w:color="auto" w:fill="auto"/>
            <w:vAlign w:val="center"/>
          </w:tcPr>
          <w:p w14:paraId="4162ACA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33717</w:t>
            </w:r>
          </w:p>
        </w:tc>
        <w:tc>
          <w:tcPr>
            <w:tcW w:w="2259" w:type="dxa"/>
            <w:tcBorders>
              <w:top w:val="nil"/>
              <w:left w:val="nil"/>
              <w:bottom w:val="single" w:color="000000" w:sz="8" w:space="0"/>
              <w:right w:val="single" w:color="000000" w:sz="8" w:space="0"/>
            </w:tcBorders>
            <w:shd w:val="clear" w:color="auto" w:fill="auto"/>
            <w:vAlign w:val="center"/>
          </w:tcPr>
          <w:p w14:paraId="70EA4F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122.7%</w:t>
            </w:r>
          </w:p>
        </w:tc>
      </w:tr>
      <w:tr w14:paraId="5C348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6" w:hRule="atLeast"/>
          <w:jc w:val="center"/>
        </w:trPr>
        <w:tc>
          <w:tcPr>
            <w:tcW w:w="3141" w:type="dxa"/>
            <w:tcBorders>
              <w:top w:val="nil"/>
              <w:left w:val="single" w:color="000000" w:sz="8" w:space="0"/>
              <w:bottom w:val="single" w:color="000000" w:sz="8" w:space="0"/>
              <w:right w:val="single" w:color="000000" w:sz="8" w:space="0"/>
            </w:tcBorders>
            <w:shd w:val="clear" w:color="auto" w:fill="auto"/>
            <w:vAlign w:val="center"/>
          </w:tcPr>
          <w:p w14:paraId="3795C99B">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节能环保支出</w:t>
            </w:r>
          </w:p>
        </w:tc>
        <w:tc>
          <w:tcPr>
            <w:tcW w:w="1930" w:type="dxa"/>
            <w:tcBorders>
              <w:top w:val="nil"/>
              <w:left w:val="nil"/>
              <w:bottom w:val="single" w:color="000000" w:sz="8" w:space="0"/>
              <w:right w:val="single" w:color="000000" w:sz="8" w:space="0"/>
            </w:tcBorders>
            <w:shd w:val="clear" w:color="auto" w:fill="auto"/>
            <w:vAlign w:val="center"/>
          </w:tcPr>
          <w:p w14:paraId="3845399E">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8528</w:t>
            </w:r>
          </w:p>
        </w:tc>
        <w:tc>
          <w:tcPr>
            <w:tcW w:w="1749" w:type="dxa"/>
            <w:tcBorders>
              <w:top w:val="nil"/>
              <w:left w:val="nil"/>
              <w:bottom w:val="single" w:color="000000" w:sz="8" w:space="0"/>
              <w:right w:val="single" w:color="000000" w:sz="8" w:space="0"/>
            </w:tcBorders>
            <w:shd w:val="clear" w:color="auto" w:fill="auto"/>
            <w:vAlign w:val="center"/>
          </w:tcPr>
          <w:p w14:paraId="77E3F37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8975</w:t>
            </w:r>
          </w:p>
        </w:tc>
        <w:tc>
          <w:tcPr>
            <w:tcW w:w="2259" w:type="dxa"/>
            <w:tcBorders>
              <w:top w:val="nil"/>
              <w:left w:val="nil"/>
              <w:bottom w:val="single" w:color="000000" w:sz="8" w:space="0"/>
              <w:right w:val="single" w:color="000000" w:sz="8" w:space="0"/>
            </w:tcBorders>
            <w:shd w:val="clear" w:color="auto" w:fill="auto"/>
            <w:vAlign w:val="center"/>
          </w:tcPr>
          <w:p w14:paraId="64E7D5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105.2%</w:t>
            </w:r>
          </w:p>
        </w:tc>
      </w:tr>
      <w:tr w14:paraId="1EA2D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6" w:hRule="atLeast"/>
          <w:jc w:val="center"/>
        </w:trPr>
        <w:tc>
          <w:tcPr>
            <w:tcW w:w="3141" w:type="dxa"/>
            <w:tcBorders>
              <w:top w:val="nil"/>
              <w:left w:val="single" w:color="000000" w:sz="8" w:space="0"/>
              <w:bottom w:val="single" w:color="000000" w:sz="8" w:space="0"/>
              <w:right w:val="single" w:color="000000" w:sz="8" w:space="0"/>
            </w:tcBorders>
            <w:shd w:val="clear" w:color="auto" w:fill="auto"/>
            <w:vAlign w:val="center"/>
          </w:tcPr>
          <w:p w14:paraId="098E64DA">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城乡社区支出</w:t>
            </w:r>
          </w:p>
        </w:tc>
        <w:tc>
          <w:tcPr>
            <w:tcW w:w="1930" w:type="dxa"/>
            <w:tcBorders>
              <w:top w:val="nil"/>
              <w:left w:val="nil"/>
              <w:bottom w:val="single" w:color="000000" w:sz="8" w:space="0"/>
              <w:right w:val="single" w:color="000000" w:sz="8" w:space="0"/>
            </w:tcBorders>
            <w:shd w:val="clear" w:color="auto" w:fill="auto"/>
            <w:vAlign w:val="center"/>
          </w:tcPr>
          <w:p w14:paraId="1DB039ED">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13736</w:t>
            </w:r>
          </w:p>
        </w:tc>
        <w:tc>
          <w:tcPr>
            <w:tcW w:w="1749" w:type="dxa"/>
            <w:tcBorders>
              <w:top w:val="nil"/>
              <w:left w:val="nil"/>
              <w:bottom w:val="single" w:color="000000" w:sz="8" w:space="0"/>
              <w:right w:val="single" w:color="000000" w:sz="8" w:space="0"/>
            </w:tcBorders>
            <w:shd w:val="clear" w:color="auto" w:fill="auto"/>
            <w:vAlign w:val="center"/>
          </w:tcPr>
          <w:p w14:paraId="392047C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48038</w:t>
            </w:r>
          </w:p>
        </w:tc>
        <w:tc>
          <w:tcPr>
            <w:tcW w:w="2259" w:type="dxa"/>
            <w:tcBorders>
              <w:top w:val="nil"/>
              <w:left w:val="nil"/>
              <w:bottom w:val="single" w:color="000000" w:sz="8" w:space="0"/>
              <w:right w:val="single" w:color="000000" w:sz="8" w:space="0"/>
            </w:tcBorders>
            <w:shd w:val="clear" w:color="auto" w:fill="auto"/>
            <w:vAlign w:val="center"/>
          </w:tcPr>
          <w:p w14:paraId="12E91A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349.7%</w:t>
            </w:r>
          </w:p>
        </w:tc>
      </w:tr>
      <w:tr w14:paraId="1C3C6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6" w:hRule="atLeast"/>
          <w:jc w:val="center"/>
        </w:trPr>
        <w:tc>
          <w:tcPr>
            <w:tcW w:w="3141" w:type="dxa"/>
            <w:tcBorders>
              <w:top w:val="nil"/>
              <w:left w:val="single" w:color="000000" w:sz="8" w:space="0"/>
              <w:bottom w:val="single" w:color="000000" w:sz="8" w:space="0"/>
              <w:right w:val="single" w:color="000000" w:sz="8" w:space="0"/>
            </w:tcBorders>
            <w:shd w:val="clear" w:color="auto" w:fill="auto"/>
            <w:vAlign w:val="center"/>
          </w:tcPr>
          <w:p w14:paraId="2BFFBE9A">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农林水支出</w:t>
            </w:r>
          </w:p>
        </w:tc>
        <w:tc>
          <w:tcPr>
            <w:tcW w:w="1930" w:type="dxa"/>
            <w:tcBorders>
              <w:top w:val="nil"/>
              <w:left w:val="nil"/>
              <w:bottom w:val="single" w:color="000000" w:sz="8" w:space="0"/>
              <w:right w:val="single" w:color="000000" w:sz="8" w:space="0"/>
            </w:tcBorders>
            <w:shd w:val="clear" w:color="auto" w:fill="auto"/>
            <w:vAlign w:val="center"/>
          </w:tcPr>
          <w:p w14:paraId="2450255D">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68781</w:t>
            </w:r>
          </w:p>
        </w:tc>
        <w:tc>
          <w:tcPr>
            <w:tcW w:w="1749" w:type="dxa"/>
            <w:tcBorders>
              <w:top w:val="nil"/>
              <w:left w:val="nil"/>
              <w:bottom w:val="single" w:color="000000" w:sz="8" w:space="0"/>
              <w:right w:val="single" w:color="000000" w:sz="8" w:space="0"/>
            </w:tcBorders>
            <w:shd w:val="clear" w:color="auto" w:fill="auto"/>
            <w:vAlign w:val="center"/>
          </w:tcPr>
          <w:p w14:paraId="0BE75E5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69802</w:t>
            </w:r>
          </w:p>
        </w:tc>
        <w:tc>
          <w:tcPr>
            <w:tcW w:w="2259" w:type="dxa"/>
            <w:tcBorders>
              <w:top w:val="nil"/>
              <w:left w:val="nil"/>
              <w:bottom w:val="single" w:color="000000" w:sz="8" w:space="0"/>
              <w:right w:val="single" w:color="000000" w:sz="8" w:space="0"/>
            </w:tcBorders>
            <w:shd w:val="clear" w:color="auto" w:fill="auto"/>
            <w:vAlign w:val="center"/>
          </w:tcPr>
          <w:p w14:paraId="5A4D47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101.5%</w:t>
            </w:r>
          </w:p>
        </w:tc>
      </w:tr>
      <w:tr w14:paraId="33053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6" w:hRule="atLeast"/>
          <w:jc w:val="center"/>
        </w:trPr>
        <w:tc>
          <w:tcPr>
            <w:tcW w:w="3141" w:type="dxa"/>
            <w:tcBorders>
              <w:top w:val="nil"/>
              <w:left w:val="single" w:color="000000" w:sz="8" w:space="0"/>
              <w:bottom w:val="single" w:color="000000" w:sz="8" w:space="0"/>
              <w:right w:val="single" w:color="000000" w:sz="8" w:space="0"/>
            </w:tcBorders>
            <w:shd w:val="clear" w:color="auto" w:fill="auto"/>
            <w:vAlign w:val="center"/>
          </w:tcPr>
          <w:p w14:paraId="61396C66">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交通运输支出</w:t>
            </w:r>
          </w:p>
        </w:tc>
        <w:tc>
          <w:tcPr>
            <w:tcW w:w="1930" w:type="dxa"/>
            <w:tcBorders>
              <w:top w:val="nil"/>
              <w:left w:val="nil"/>
              <w:bottom w:val="single" w:color="000000" w:sz="8" w:space="0"/>
              <w:right w:val="single" w:color="000000" w:sz="8" w:space="0"/>
            </w:tcBorders>
            <w:shd w:val="clear" w:color="auto" w:fill="auto"/>
            <w:vAlign w:val="center"/>
          </w:tcPr>
          <w:p w14:paraId="6C722438">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7688</w:t>
            </w:r>
          </w:p>
        </w:tc>
        <w:tc>
          <w:tcPr>
            <w:tcW w:w="1749" w:type="dxa"/>
            <w:tcBorders>
              <w:top w:val="nil"/>
              <w:left w:val="nil"/>
              <w:bottom w:val="single" w:color="000000" w:sz="8" w:space="0"/>
              <w:right w:val="single" w:color="000000" w:sz="8" w:space="0"/>
            </w:tcBorders>
            <w:shd w:val="clear" w:color="auto" w:fill="auto"/>
            <w:vAlign w:val="center"/>
          </w:tcPr>
          <w:p w14:paraId="0BC3B8D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9828</w:t>
            </w:r>
          </w:p>
        </w:tc>
        <w:tc>
          <w:tcPr>
            <w:tcW w:w="2259" w:type="dxa"/>
            <w:tcBorders>
              <w:top w:val="nil"/>
              <w:left w:val="nil"/>
              <w:bottom w:val="single" w:color="000000" w:sz="8" w:space="0"/>
              <w:right w:val="single" w:color="000000" w:sz="8" w:space="0"/>
            </w:tcBorders>
            <w:shd w:val="clear" w:color="auto" w:fill="auto"/>
            <w:vAlign w:val="center"/>
          </w:tcPr>
          <w:p w14:paraId="0CC159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127.8%</w:t>
            </w:r>
          </w:p>
        </w:tc>
      </w:tr>
      <w:tr w14:paraId="5238B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6" w:hRule="atLeast"/>
          <w:jc w:val="center"/>
        </w:trPr>
        <w:tc>
          <w:tcPr>
            <w:tcW w:w="3141" w:type="dxa"/>
            <w:tcBorders>
              <w:top w:val="nil"/>
              <w:left w:val="single" w:color="000000" w:sz="8" w:space="0"/>
              <w:bottom w:val="single" w:color="000000" w:sz="8" w:space="0"/>
              <w:right w:val="single" w:color="000000" w:sz="8" w:space="0"/>
            </w:tcBorders>
            <w:shd w:val="clear" w:color="auto" w:fill="auto"/>
            <w:vAlign w:val="center"/>
          </w:tcPr>
          <w:p w14:paraId="6FA7D0DB">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资源勘探工业信息等支出</w:t>
            </w:r>
          </w:p>
        </w:tc>
        <w:tc>
          <w:tcPr>
            <w:tcW w:w="1930" w:type="dxa"/>
            <w:tcBorders>
              <w:top w:val="nil"/>
              <w:left w:val="nil"/>
              <w:bottom w:val="single" w:color="000000" w:sz="8" w:space="0"/>
              <w:right w:val="single" w:color="000000" w:sz="8" w:space="0"/>
            </w:tcBorders>
            <w:shd w:val="clear" w:color="auto" w:fill="auto"/>
            <w:vAlign w:val="center"/>
          </w:tcPr>
          <w:p w14:paraId="69559CD2">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1843</w:t>
            </w:r>
          </w:p>
        </w:tc>
        <w:tc>
          <w:tcPr>
            <w:tcW w:w="1749" w:type="dxa"/>
            <w:tcBorders>
              <w:top w:val="nil"/>
              <w:left w:val="nil"/>
              <w:bottom w:val="single" w:color="000000" w:sz="8" w:space="0"/>
              <w:right w:val="single" w:color="000000" w:sz="8" w:space="0"/>
            </w:tcBorders>
            <w:shd w:val="clear" w:color="auto" w:fill="auto"/>
            <w:vAlign w:val="center"/>
          </w:tcPr>
          <w:p w14:paraId="2F6099F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1826</w:t>
            </w:r>
          </w:p>
        </w:tc>
        <w:tc>
          <w:tcPr>
            <w:tcW w:w="2259" w:type="dxa"/>
            <w:tcBorders>
              <w:top w:val="nil"/>
              <w:left w:val="nil"/>
              <w:bottom w:val="single" w:color="000000" w:sz="8" w:space="0"/>
              <w:right w:val="single" w:color="000000" w:sz="8" w:space="0"/>
            </w:tcBorders>
            <w:shd w:val="clear" w:color="auto" w:fill="auto"/>
            <w:vAlign w:val="center"/>
          </w:tcPr>
          <w:p w14:paraId="16C176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99.1%</w:t>
            </w:r>
          </w:p>
        </w:tc>
      </w:tr>
      <w:tr w14:paraId="6AB5E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6" w:hRule="atLeast"/>
          <w:jc w:val="center"/>
        </w:trPr>
        <w:tc>
          <w:tcPr>
            <w:tcW w:w="3141" w:type="dxa"/>
            <w:tcBorders>
              <w:top w:val="nil"/>
              <w:left w:val="single" w:color="000000" w:sz="8" w:space="0"/>
              <w:bottom w:val="single" w:color="000000" w:sz="8" w:space="0"/>
              <w:right w:val="single" w:color="000000" w:sz="8" w:space="0"/>
            </w:tcBorders>
            <w:shd w:val="clear" w:color="auto" w:fill="auto"/>
            <w:vAlign w:val="center"/>
          </w:tcPr>
          <w:p w14:paraId="616D8F76">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商业服务业等支出</w:t>
            </w:r>
          </w:p>
        </w:tc>
        <w:tc>
          <w:tcPr>
            <w:tcW w:w="1930" w:type="dxa"/>
            <w:tcBorders>
              <w:top w:val="nil"/>
              <w:left w:val="nil"/>
              <w:bottom w:val="single" w:color="000000" w:sz="8" w:space="0"/>
              <w:right w:val="single" w:color="000000" w:sz="8" w:space="0"/>
            </w:tcBorders>
            <w:shd w:val="clear" w:color="auto" w:fill="auto"/>
            <w:vAlign w:val="center"/>
          </w:tcPr>
          <w:p w14:paraId="0F424422">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262</w:t>
            </w:r>
          </w:p>
        </w:tc>
        <w:tc>
          <w:tcPr>
            <w:tcW w:w="1749" w:type="dxa"/>
            <w:tcBorders>
              <w:top w:val="nil"/>
              <w:left w:val="nil"/>
              <w:bottom w:val="single" w:color="000000" w:sz="8" w:space="0"/>
              <w:right w:val="single" w:color="000000" w:sz="8" w:space="0"/>
            </w:tcBorders>
            <w:shd w:val="clear" w:color="auto" w:fill="auto"/>
            <w:vAlign w:val="center"/>
          </w:tcPr>
          <w:p w14:paraId="63BFED3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279</w:t>
            </w:r>
          </w:p>
        </w:tc>
        <w:tc>
          <w:tcPr>
            <w:tcW w:w="2259" w:type="dxa"/>
            <w:tcBorders>
              <w:top w:val="nil"/>
              <w:left w:val="nil"/>
              <w:bottom w:val="single" w:color="000000" w:sz="8" w:space="0"/>
              <w:right w:val="single" w:color="000000" w:sz="8" w:space="0"/>
            </w:tcBorders>
            <w:shd w:val="clear" w:color="auto" w:fill="auto"/>
            <w:vAlign w:val="center"/>
          </w:tcPr>
          <w:p w14:paraId="32C19A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106.5%</w:t>
            </w:r>
          </w:p>
        </w:tc>
      </w:tr>
      <w:tr w14:paraId="7E528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6" w:hRule="atLeast"/>
          <w:jc w:val="center"/>
        </w:trPr>
        <w:tc>
          <w:tcPr>
            <w:tcW w:w="3141" w:type="dxa"/>
            <w:tcBorders>
              <w:top w:val="nil"/>
              <w:left w:val="single" w:color="000000" w:sz="8" w:space="0"/>
              <w:bottom w:val="single" w:color="000000" w:sz="8" w:space="0"/>
              <w:right w:val="single" w:color="000000" w:sz="8" w:space="0"/>
            </w:tcBorders>
            <w:shd w:val="clear" w:color="auto" w:fill="auto"/>
            <w:vAlign w:val="center"/>
          </w:tcPr>
          <w:p w14:paraId="1E25D5D6">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自然资源海洋气象等支出</w:t>
            </w:r>
          </w:p>
        </w:tc>
        <w:tc>
          <w:tcPr>
            <w:tcW w:w="1930" w:type="dxa"/>
            <w:tcBorders>
              <w:top w:val="nil"/>
              <w:left w:val="nil"/>
              <w:bottom w:val="single" w:color="000000" w:sz="8" w:space="0"/>
              <w:right w:val="single" w:color="000000" w:sz="8" w:space="0"/>
            </w:tcBorders>
            <w:shd w:val="clear" w:color="auto" w:fill="auto"/>
            <w:vAlign w:val="center"/>
          </w:tcPr>
          <w:p w14:paraId="5A15BAC7">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3202</w:t>
            </w:r>
          </w:p>
        </w:tc>
        <w:tc>
          <w:tcPr>
            <w:tcW w:w="1749" w:type="dxa"/>
            <w:tcBorders>
              <w:top w:val="nil"/>
              <w:left w:val="nil"/>
              <w:bottom w:val="single" w:color="000000" w:sz="8" w:space="0"/>
              <w:right w:val="single" w:color="000000" w:sz="8" w:space="0"/>
            </w:tcBorders>
            <w:shd w:val="clear" w:color="auto" w:fill="auto"/>
            <w:vAlign w:val="center"/>
          </w:tcPr>
          <w:p w14:paraId="56FED33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3389</w:t>
            </w:r>
          </w:p>
        </w:tc>
        <w:tc>
          <w:tcPr>
            <w:tcW w:w="2259" w:type="dxa"/>
            <w:tcBorders>
              <w:top w:val="nil"/>
              <w:left w:val="nil"/>
              <w:bottom w:val="single" w:color="000000" w:sz="8" w:space="0"/>
              <w:right w:val="single" w:color="000000" w:sz="8" w:space="0"/>
            </w:tcBorders>
            <w:shd w:val="clear" w:color="auto" w:fill="auto"/>
            <w:vAlign w:val="center"/>
          </w:tcPr>
          <w:p w14:paraId="31C944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105.8%</w:t>
            </w:r>
          </w:p>
        </w:tc>
      </w:tr>
      <w:tr w14:paraId="24692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6" w:hRule="atLeast"/>
          <w:jc w:val="center"/>
        </w:trPr>
        <w:tc>
          <w:tcPr>
            <w:tcW w:w="3141" w:type="dxa"/>
            <w:tcBorders>
              <w:top w:val="nil"/>
              <w:left w:val="single" w:color="000000" w:sz="8" w:space="0"/>
              <w:bottom w:val="single" w:color="000000" w:sz="8" w:space="0"/>
              <w:right w:val="single" w:color="000000" w:sz="8" w:space="0"/>
            </w:tcBorders>
            <w:shd w:val="clear" w:color="auto" w:fill="auto"/>
            <w:vAlign w:val="center"/>
          </w:tcPr>
          <w:p w14:paraId="5E747BBE">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住房保障支出</w:t>
            </w:r>
          </w:p>
        </w:tc>
        <w:tc>
          <w:tcPr>
            <w:tcW w:w="1930" w:type="dxa"/>
            <w:tcBorders>
              <w:top w:val="nil"/>
              <w:left w:val="nil"/>
              <w:bottom w:val="single" w:color="000000" w:sz="8" w:space="0"/>
              <w:right w:val="single" w:color="000000" w:sz="8" w:space="0"/>
            </w:tcBorders>
            <w:shd w:val="clear" w:color="auto" w:fill="auto"/>
            <w:vAlign w:val="center"/>
          </w:tcPr>
          <w:p w14:paraId="22B012BF">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14840</w:t>
            </w:r>
          </w:p>
        </w:tc>
        <w:tc>
          <w:tcPr>
            <w:tcW w:w="1749" w:type="dxa"/>
            <w:tcBorders>
              <w:top w:val="nil"/>
              <w:left w:val="nil"/>
              <w:bottom w:val="single" w:color="000000" w:sz="8" w:space="0"/>
              <w:right w:val="single" w:color="000000" w:sz="8" w:space="0"/>
            </w:tcBorders>
            <w:shd w:val="clear" w:color="auto" w:fill="auto"/>
            <w:vAlign w:val="center"/>
          </w:tcPr>
          <w:p w14:paraId="057A437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14797</w:t>
            </w:r>
          </w:p>
        </w:tc>
        <w:tc>
          <w:tcPr>
            <w:tcW w:w="2259" w:type="dxa"/>
            <w:tcBorders>
              <w:top w:val="nil"/>
              <w:left w:val="nil"/>
              <w:bottom w:val="single" w:color="000000" w:sz="8" w:space="0"/>
              <w:right w:val="single" w:color="000000" w:sz="8" w:space="0"/>
            </w:tcBorders>
            <w:shd w:val="clear" w:color="auto" w:fill="auto"/>
            <w:vAlign w:val="center"/>
          </w:tcPr>
          <w:p w14:paraId="44A1C2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99.7%</w:t>
            </w:r>
          </w:p>
        </w:tc>
      </w:tr>
      <w:tr w14:paraId="05508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6" w:hRule="atLeast"/>
          <w:jc w:val="center"/>
        </w:trPr>
        <w:tc>
          <w:tcPr>
            <w:tcW w:w="3141" w:type="dxa"/>
            <w:tcBorders>
              <w:top w:val="nil"/>
              <w:left w:val="single" w:color="000000" w:sz="8" w:space="0"/>
              <w:bottom w:val="single" w:color="000000" w:sz="8" w:space="0"/>
              <w:right w:val="single" w:color="000000" w:sz="8" w:space="0"/>
            </w:tcBorders>
            <w:shd w:val="clear" w:color="auto" w:fill="auto"/>
            <w:vAlign w:val="center"/>
          </w:tcPr>
          <w:p w14:paraId="28550A10">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粮油物资储备支出</w:t>
            </w:r>
          </w:p>
        </w:tc>
        <w:tc>
          <w:tcPr>
            <w:tcW w:w="1930" w:type="dxa"/>
            <w:tcBorders>
              <w:top w:val="nil"/>
              <w:left w:val="nil"/>
              <w:bottom w:val="single" w:color="000000" w:sz="8" w:space="0"/>
              <w:right w:val="single" w:color="000000" w:sz="8" w:space="0"/>
            </w:tcBorders>
            <w:shd w:val="clear" w:color="auto" w:fill="auto"/>
            <w:vAlign w:val="center"/>
          </w:tcPr>
          <w:p w14:paraId="52B5193D">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693</w:t>
            </w:r>
          </w:p>
        </w:tc>
        <w:tc>
          <w:tcPr>
            <w:tcW w:w="1749" w:type="dxa"/>
            <w:tcBorders>
              <w:top w:val="nil"/>
              <w:left w:val="nil"/>
              <w:bottom w:val="single" w:color="000000" w:sz="8" w:space="0"/>
              <w:right w:val="single" w:color="000000" w:sz="8" w:space="0"/>
            </w:tcBorders>
            <w:shd w:val="clear" w:color="auto" w:fill="auto"/>
            <w:vAlign w:val="center"/>
          </w:tcPr>
          <w:p w14:paraId="3EAE599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778</w:t>
            </w:r>
          </w:p>
        </w:tc>
        <w:tc>
          <w:tcPr>
            <w:tcW w:w="2259" w:type="dxa"/>
            <w:tcBorders>
              <w:top w:val="nil"/>
              <w:left w:val="nil"/>
              <w:bottom w:val="single" w:color="000000" w:sz="8" w:space="0"/>
              <w:right w:val="single" w:color="000000" w:sz="8" w:space="0"/>
            </w:tcBorders>
            <w:shd w:val="clear" w:color="auto" w:fill="auto"/>
            <w:vAlign w:val="center"/>
          </w:tcPr>
          <w:p w14:paraId="286DAB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112.3%</w:t>
            </w:r>
          </w:p>
        </w:tc>
      </w:tr>
      <w:tr w14:paraId="5D0C6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6" w:hRule="atLeast"/>
          <w:jc w:val="center"/>
        </w:trPr>
        <w:tc>
          <w:tcPr>
            <w:tcW w:w="3141" w:type="dxa"/>
            <w:tcBorders>
              <w:top w:val="nil"/>
              <w:left w:val="single" w:color="000000" w:sz="8" w:space="0"/>
              <w:bottom w:val="single" w:color="000000" w:sz="8" w:space="0"/>
              <w:right w:val="single" w:color="000000" w:sz="8" w:space="0"/>
            </w:tcBorders>
            <w:shd w:val="clear" w:color="auto" w:fill="auto"/>
            <w:vAlign w:val="center"/>
          </w:tcPr>
          <w:p w14:paraId="0CF4E3C6">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灾害防治及应急管理支出</w:t>
            </w:r>
          </w:p>
        </w:tc>
        <w:tc>
          <w:tcPr>
            <w:tcW w:w="1930" w:type="dxa"/>
            <w:tcBorders>
              <w:top w:val="nil"/>
              <w:left w:val="nil"/>
              <w:bottom w:val="single" w:color="000000" w:sz="8" w:space="0"/>
              <w:right w:val="single" w:color="000000" w:sz="8" w:space="0"/>
            </w:tcBorders>
            <w:shd w:val="clear" w:color="auto" w:fill="auto"/>
            <w:vAlign w:val="center"/>
          </w:tcPr>
          <w:p w14:paraId="024905E0">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2214</w:t>
            </w:r>
          </w:p>
        </w:tc>
        <w:tc>
          <w:tcPr>
            <w:tcW w:w="1749" w:type="dxa"/>
            <w:tcBorders>
              <w:top w:val="nil"/>
              <w:left w:val="nil"/>
              <w:bottom w:val="single" w:color="000000" w:sz="8" w:space="0"/>
              <w:right w:val="single" w:color="000000" w:sz="8" w:space="0"/>
            </w:tcBorders>
            <w:shd w:val="clear" w:color="auto" w:fill="auto"/>
            <w:vAlign w:val="center"/>
          </w:tcPr>
          <w:p w14:paraId="53FD27F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2404</w:t>
            </w:r>
          </w:p>
        </w:tc>
        <w:tc>
          <w:tcPr>
            <w:tcW w:w="2259" w:type="dxa"/>
            <w:tcBorders>
              <w:top w:val="nil"/>
              <w:left w:val="nil"/>
              <w:bottom w:val="single" w:color="000000" w:sz="8" w:space="0"/>
              <w:right w:val="single" w:color="000000" w:sz="8" w:space="0"/>
            </w:tcBorders>
            <w:shd w:val="clear" w:color="auto" w:fill="auto"/>
            <w:vAlign w:val="center"/>
          </w:tcPr>
          <w:p w14:paraId="60E09D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108.6%</w:t>
            </w:r>
          </w:p>
        </w:tc>
      </w:tr>
      <w:tr w14:paraId="1ACEC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6" w:hRule="atLeast"/>
          <w:jc w:val="center"/>
        </w:trPr>
        <w:tc>
          <w:tcPr>
            <w:tcW w:w="3141" w:type="dxa"/>
            <w:tcBorders>
              <w:top w:val="nil"/>
              <w:left w:val="single" w:color="000000" w:sz="8" w:space="0"/>
              <w:bottom w:val="single" w:color="000000" w:sz="8" w:space="0"/>
              <w:right w:val="single" w:color="000000" w:sz="8" w:space="0"/>
            </w:tcBorders>
            <w:shd w:val="clear" w:color="auto" w:fill="auto"/>
            <w:vAlign w:val="center"/>
          </w:tcPr>
          <w:p w14:paraId="368352E5">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债务付息支出</w:t>
            </w:r>
          </w:p>
        </w:tc>
        <w:tc>
          <w:tcPr>
            <w:tcW w:w="1930" w:type="dxa"/>
            <w:tcBorders>
              <w:top w:val="nil"/>
              <w:left w:val="nil"/>
              <w:bottom w:val="single" w:color="000000" w:sz="8" w:space="0"/>
              <w:right w:val="single" w:color="000000" w:sz="8" w:space="0"/>
            </w:tcBorders>
            <w:shd w:val="clear" w:color="auto" w:fill="auto"/>
            <w:vAlign w:val="center"/>
          </w:tcPr>
          <w:p w14:paraId="1C4C7C1B">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5566</w:t>
            </w:r>
          </w:p>
        </w:tc>
        <w:tc>
          <w:tcPr>
            <w:tcW w:w="1749" w:type="dxa"/>
            <w:tcBorders>
              <w:top w:val="nil"/>
              <w:left w:val="nil"/>
              <w:bottom w:val="single" w:color="000000" w:sz="8" w:space="0"/>
              <w:right w:val="single" w:color="000000" w:sz="8" w:space="0"/>
            </w:tcBorders>
            <w:shd w:val="clear" w:color="auto" w:fill="auto"/>
            <w:vAlign w:val="center"/>
          </w:tcPr>
          <w:p w14:paraId="3906B67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5566</w:t>
            </w:r>
          </w:p>
        </w:tc>
        <w:tc>
          <w:tcPr>
            <w:tcW w:w="2259" w:type="dxa"/>
            <w:tcBorders>
              <w:top w:val="nil"/>
              <w:left w:val="nil"/>
              <w:bottom w:val="single" w:color="000000" w:sz="8" w:space="0"/>
              <w:right w:val="single" w:color="000000" w:sz="8" w:space="0"/>
            </w:tcBorders>
            <w:shd w:val="clear" w:color="auto" w:fill="auto"/>
            <w:vAlign w:val="center"/>
          </w:tcPr>
          <w:p w14:paraId="012B44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r>
      <w:tr w14:paraId="2B530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47" w:hRule="atLeast"/>
          <w:jc w:val="center"/>
        </w:trPr>
        <w:tc>
          <w:tcPr>
            <w:tcW w:w="31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2360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其它支出</w:t>
            </w:r>
          </w:p>
        </w:tc>
        <w:tc>
          <w:tcPr>
            <w:tcW w:w="1930" w:type="dxa"/>
            <w:tcBorders>
              <w:top w:val="single" w:color="000000" w:sz="8" w:space="0"/>
              <w:left w:val="nil"/>
              <w:bottom w:val="single" w:color="000000" w:sz="8" w:space="0"/>
              <w:right w:val="single" w:color="000000" w:sz="8" w:space="0"/>
            </w:tcBorders>
            <w:shd w:val="clear" w:color="auto" w:fill="auto"/>
            <w:vAlign w:val="center"/>
          </w:tcPr>
          <w:p w14:paraId="7384D3D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b w:val="0"/>
                <w:bCs/>
                <w:i w:val="0"/>
                <w:color w:val="000000"/>
                <w:kern w:val="0"/>
                <w:sz w:val="24"/>
                <w:szCs w:val="24"/>
                <w:u w:val="none"/>
                <w:lang w:val="en-US" w:eastAsia="zh-CN" w:bidi="ar"/>
              </w:rPr>
              <w:t>2328</w:t>
            </w:r>
          </w:p>
        </w:tc>
        <w:tc>
          <w:tcPr>
            <w:tcW w:w="1749" w:type="dxa"/>
            <w:tcBorders>
              <w:top w:val="single" w:color="000000" w:sz="8" w:space="0"/>
              <w:left w:val="nil"/>
              <w:bottom w:val="single" w:color="000000" w:sz="8" w:space="0"/>
              <w:right w:val="single" w:color="000000" w:sz="8" w:space="0"/>
            </w:tcBorders>
            <w:shd w:val="clear" w:color="auto" w:fill="auto"/>
            <w:vAlign w:val="center"/>
          </w:tcPr>
          <w:p w14:paraId="08FD156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2343</w:t>
            </w:r>
          </w:p>
        </w:tc>
        <w:tc>
          <w:tcPr>
            <w:tcW w:w="2259" w:type="dxa"/>
            <w:tcBorders>
              <w:top w:val="single" w:color="000000" w:sz="8" w:space="0"/>
              <w:left w:val="nil"/>
              <w:bottom w:val="single" w:color="000000" w:sz="8" w:space="0"/>
              <w:right w:val="single" w:color="000000" w:sz="8" w:space="0"/>
            </w:tcBorders>
            <w:shd w:val="clear" w:color="auto" w:fill="auto"/>
            <w:vAlign w:val="center"/>
          </w:tcPr>
          <w:p w14:paraId="2FA76D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100.6%</w:t>
            </w:r>
          </w:p>
        </w:tc>
      </w:tr>
      <w:tr w14:paraId="40C95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47" w:hRule="atLeast"/>
          <w:jc w:val="center"/>
        </w:trPr>
        <w:tc>
          <w:tcPr>
            <w:tcW w:w="31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FAEB57">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合   计</w:t>
            </w:r>
          </w:p>
        </w:tc>
        <w:tc>
          <w:tcPr>
            <w:tcW w:w="1930" w:type="dxa"/>
            <w:tcBorders>
              <w:top w:val="single" w:color="000000" w:sz="8" w:space="0"/>
              <w:left w:val="nil"/>
              <w:bottom w:val="single" w:color="000000" w:sz="8" w:space="0"/>
              <w:right w:val="single" w:color="000000" w:sz="8" w:space="0"/>
            </w:tcBorders>
            <w:shd w:val="clear" w:color="auto" w:fill="auto"/>
            <w:vAlign w:val="center"/>
          </w:tcPr>
          <w:p w14:paraId="028F3A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415078</w:t>
            </w:r>
          </w:p>
        </w:tc>
        <w:tc>
          <w:tcPr>
            <w:tcW w:w="1749" w:type="dxa"/>
            <w:tcBorders>
              <w:top w:val="single" w:color="000000" w:sz="8" w:space="0"/>
              <w:left w:val="nil"/>
              <w:bottom w:val="single" w:color="000000" w:sz="8" w:space="0"/>
              <w:right w:val="single" w:color="000000" w:sz="8" w:space="0"/>
            </w:tcBorders>
            <w:shd w:val="clear" w:color="auto" w:fill="auto"/>
            <w:vAlign w:val="center"/>
          </w:tcPr>
          <w:p w14:paraId="312D0E0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459198</w:t>
            </w:r>
          </w:p>
        </w:tc>
        <w:tc>
          <w:tcPr>
            <w:tcW w:w="2259" w:type="dxa"/>
            <w:tcBorders>
              <w:top w:val="single" w:color="000000" w:sz="8" w:space="0"/>
              <w:left w:val="nil"/>
              <w:bottom w:val="single" w:color="000000" w:sz="8" w:space="0"/>
              <w:right w:val="single" w:color="000000" w:sz="8" w:space="0"/>
            </w:tcBorders>
            <w:shd w:val="clear" w:color="auto" w:fill="auto"/>
            <w:vAlign w:val="center"/>
          </w:tcPr>
          <w:p w14:paraId="09ABF3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110.6%</w:t>
            </w:r>
          </w:p>
        </w:tc>
      </w:tr>
    </w:tbl>
    <w:p w14:paraId="34A78881">
      <w:pPr>
        <w:pStyle w:val="26"/>
        <w:keepNext w:val="0"/>
        <w:keepLines w:val="0"/>
        <w:pageBreakBefore w:val="0"/>
        <w:widowControl w:val="0"/>
        <w:kinsoku/>
        <w:wordWrap/>
        <w:overflowPunct/>
        <w:topLinePunct w:val="0"/>
        <w:autoSpaceDE/>
        <w:autoSpaceDN/>
        <w:bidi w:val="0"/>
        <w:adjustRightInd/>
        <w:snapToGrid/>
        <w:spacing w:line="20" w:lineRule="exact"/>
        <w:ind w:firstLine="480" w:firstLineChars="150"/>
        <w:textAlignment w:val="auto"/>
        <w:rPr>
          <w:rFonts w:hint="eastAsia" w:ascii="仿宋_GB2312" w:hAnsi="仿宋" w:eastAsia="仿宋_GB2312"/>
          <w:color w:val="000000"/>
          <w:sz w:val="32"/>
          <w:szCs w:val="32"/>
        </w:rPr>
      </w:pPr>
    </w:p>
    <w:p w14:paraId="21CFBC79">
      <w:pPr>
        <w:pStyle w:val="48"/>
        <w:keepNext w:val="0"/>
        <w:keepLines w:val="0"/>
        <w:pageBreakBefore w:val="0"/>
        <w:widowControl w:val="0"/>
        <w:kinsoku/>
        <w:wordWrap/>
        <w:overflowPunct/>
        <w:topLinePunct w:val="0"/>
        <w:autoSpaceDE/>
        <w:autoSpaceDN/>
        <w:bidi w:val="0"/>
        <w:adjustRightInd/>
        <w:snapToGrid/>
        <w:spacing w:before="0" w:after="0" w:line="572" w:lineRule="exact"/>
        <w:jc w:val="center"/>
        <w:textAlignment w:val="auto"/>
        <w:outlineLvl w:val="9"/>
        <w:rPr>
          <w:rFonts w:ascii="宋体" w:eastAsia="宋体"/>
          <w:b/>
        </w:rPr>
      </w:pPr>
      <w:r>
        <w:rPr>
          <w:rFonts w:ascii="宋体" w:eastAsia="宋体"/>
          <w:b/>
        </w:rPr>
        <w:br w:type="page"/>
      </w:r>
    </w:p>
    <w:p w14:paraId="5F48044E">
      <w:pPr>
        <w:pStyle w:val="48"/>
        <w:keepNext w:val="0"/>
        <w:keepLines w:val="0"/>
        <w:pageBreakBefore w:val="0"/>
        <w:widowControl w:val="0"/>
        <w:kinsoku/>
        <w:wordWrap/>
        <w:overflowPunct/>
        <w:topLinePunct w:val="0"/>
        <w:autoSpaceDE/>
        <w:autoSpaceDN/>
        <w:bidi w:val="0"/>
        <w:adjustRightInd/>
        <w:snapToGrid/>
        <w:spacing w:before="0" w:after="0" w:line="572" w:lineRule="exact"/>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关于202</w:t>
      </w:r>
      <w:r>
        <w:rPr>
          <w:rFonts w:hint="eastAsia" w:hAnsi="方正小标宋简体" w:cs="方正小标宋简体"/>
          <w:color w:val="auto"/>
          <w:sz w:val="44"/>
          <w:szCs w:val="44"/>
          <w:lang w:val="en-US" w:eastAsia="zh-CN"/>
        </w:rPr>
        <w:t>5</w:t>
      </w:r>
      <w:r>
        <w:rPr>
          <w:rFonts w:hint="eastAsia" w:ascii="方正小标宋简体" w:hAnsi="方正小标宋简体" w:eastAsia="方正小标宋简体" w:cs="方正小标宋简体"/>
          <w:color w:val="auto"/>
          <w:sz w:val="44"/>
          <w:szCs w:val="44"/>
        </w:rPr>
        <w:t>年一般公共预算支出执行情况的</w:t>
      </w:r>
    </w:p>
    <w:p w14:paraId="4651F80E">
      <w:pPr>
        <w:pStyle w:val="48"/>
        <w:keepNext w:val="0"/>
        <w:keepLines w:val="0"/>
        <w:pageBreakBefore w:val="0"/>
        <w:widowControl w:val="0"/>
        <w:kinsoku/>
        <w:wordWrap/>
        <w:overflowPunct/>
        <w:topLinePunct w:val="0"/>
        <w:autoSpaceDE/>
        <w:autoSpaceDN/>
        <w:bidi w:val="0"/>
        <w:adjustRightInd/>
        <w:snapToGrid/>
        <w:spacing w:before="0" w:after="0" w:line="572" w:lineRule="exact"/>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说明</w:t>
      </w:r>
    </w:p>
    <w:p w14:paraId="5BC9B8ED">
      <w:pPr>
        <w:pStyle w:val="26"/>
        <w:keepNext w:val="0"/>
        <w:keepLines w:val="0"/>
        <w:pageBreakBefore w:val="0"/>
        <w:widowControl w:val="0"/>
        <w:kinsoku/>
        <w:wordWrap/>
        <w:overflowPunct/>
        <w:topLinePunct w:val="0"/>
        <w:autoSpaceDE/>
        <w:autoSpaceDN/>
        <w:bidi w:val="0"/>
        <w:adjustRightInd/>
        <w:snapToGrid/>
        <w:spacing w:line="572" w:lineRule="exact"/>
        <w:ind w:left="0" w:firstLine="640" w:firstLineChars="200"/>
        <w:jc w:val="both"/>
        <w:textAlignment w:val="auto"/>
        <w:outlineLvl w:val="9"/>
        <w:rPr>
          <w:rFonts w:hint="eastAsia" w:ascii="仿宋_GB2312" w:hAnsi="仿宋_GB2312" w:eastAsia="仿宋_GB2312" w:cs="仿宋_GB2312"/>
          <w:color w:val="auto"/>
          <w:sz w:val="32"/>
          <w:szCs w:val="32"/>
        </w:rPr>
      </w:pPr>
    </w:p>
    <w:p w14:paraId="7348A40E">
      <w:pPr>
        <w:keepNext w:val="0"/>
        <w:keepLines w:val="0"/>
        <w:pageBreakBefore w:val="0"/>
        <w:widowControl w:val="0"/>
        <w:kinsoku/>
        <w:wordWrap/>
        <w:overflowPunct/>
        <w:topLinePunct w:val="0"/>
        <w:autoSpaceDE/>
        <w:autoSpaceDN/>
        <w:bidi w:val="0"/>
        <w:adjustRightInd/>
        <w:snapToGrid/>
        <w:spacing w:line="572" w:lineRule="exact"/>
        <w:ind w:lef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年全县一般公共预算支出</w:t>
      </w:r>
      <w:r>
        <w:rPr>
          <w:rFonts w:hint="eastAsia" w:ascii="仿宋_GB2312" w:hAnsi="仿宋_GB2312" w:eastAsia="仿宋_GB2312" w:cs="仿宋_GB2312"/>
          <w:color w:val="auto"/>
          <w:sz w:val="32"/>
          <w:szCs w:val="32"/>
          <w:lang w:val="en-US" w:eastAsia="zh-CN"/>
        </w:rPr>
        <w:t>调整</w:t>
      </w:r>
      <w:r>
        <w:rPr>
          <w:rFonts w:hint="eastAsia" w:ascii="仿宋_GB2312" w:hAnsi="仿宋_GB2312" w:eastAsia="仿宋_GB2312" w:cs="仿宋_GB2312"/>
          <w:color w:val="auto"/>
          <w:sz w:val="32"/>
          <w:szCs w:val="32"/>
        </w:rPr>
        <w:t>预算合计</w:t>
      </w:r>
      <w:r>
        <w:rPr>
          <w:rFonts w:hint="eastAsia" w:ascii="仿宋_GB2312" w:hAnsi="仿宋_GB2312" w:eastAsia="仿宋_GB2312" w:cs="仿宋_GB2312"/>
          <w:color w:val="auto"/>
          <w:sz w:val="32"/>
          <w:szCs w:val="32"/>
          <w:lang w:val="en-US" w:eastAsia="zh-CN"/>
        </w:rPr>
        <w:t>415078</w:t>
      </w:r>
      <w:r>
        <w:rPr>
          <w:rFonts w:hint="eastAsia" w:ascii="仿宋_GB2312" w:hAnsi="仿宋_GB2312" w:eastAsia="仿宋_GB2312" w:cs="仿宋_GB2312"/>
          <w:color w:val="auto"/>
          <w:sz w:val="32"/>
          <w:szCs w:val="32"/>
        </w:rPr>
        <w:t>万元，实际完成</w:t>
      </w:r>
      <w:r>
        <w:rPr>
          <w:rFonts w:hint="eastAsia" w:ascii="仿宋_GB2312" w:hAnsi="仿宋_GB2312" w:eastAsia="仿宋_GB2312" w:cs="仿宋_GB2312"/>
          <w:color w:val="auto"/>
          <w:sz w:val="32"/>
          <w:szCs w:val="32"/>
          <w:lang w:val="en-US" w:eastAsia="zh-CN"/>
        </w:rPr>
        <w:t>459198</w:t>
      </w:r>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val="en-US" w:eastAsia="zh-CN"/>
        </w:rPr>
        <w:t>调整预算</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110.6</w:t>
      </w:r>
      <w:r>
        <w:rPr>
          <w:rFonts w:hint="eastAsia" w:ascii="仿宋_GB2312" w:hAnsi="仿宋_GB2312" w:eastAsia="仿宋_GB2312" w:cs="仿宋_GB2312"/>
          <w:color w:val="auto"/>
          <w:sz w:val="32"/>
          <w:szCs w:val="32"/>
        </w:rPr>
        <w:t>%。</w:t>
      </w:r>
    </w:p>
    <w:p w14:paraId="0DA0476D">
      <w:pPr>
        <w:keepNext w:val="0"/>
        <w:keepLines w:val="0"/>
        <w:pageBreakBefore w:val="0"/>
        <w:widowControl w:val="0"/>
        <w:kinsoku/>
        <w:wordWrap/>
        <w:overflowPunct/>
        <w:topLinePunct w:val="0"/>
        <w:autoSpaceDE/>
        <w:autoSpaceDN/>
        <w:bidi w:val="0"/>
        <w:adjustRightInd/>
        <w:snapToGrid/>
        <w:spacing w:line="572" w:lineRule="exact"/>
        <w:ind w:left="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主要项目执行情况是：</w:t>
      </w:r>
    </w:p>
    <w:p w14:paraId="63659DE0">
      <w:pPr>
        <w:keepNext w:val="0"/>
        <w:keepLines w:val="0"/>
        <w:pageBreakBefore w:val="0"/>
        <w:widowControl w:val="0"/>
        <w:kinsoku/>
        <w:wordWrap/>
        <w:overflowPunct/>
        <w:topLinePunct w:val="0"/>
        <w:autoSpaceDE/>
        <w:autoSpaceDN/>
        <w:bidi w:val="0"/>
        <w:adjustRightInd/>
        <w:snapToGrid/>
        <w:spacing w:line="572" w:lineRule="exact"/>
        <w:ind w:lef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1.一般公共服务支出</w:t>
      </w:r>
      <w:r>
        <w:rPr>
          <w:rFonts w:hint="eastAsia" w:ascii="仿宋_GB2312" w:hAnsi="仿宋_GB2312" w:eastAsia="仿宋_GB2312" w:cs="仿宋_GB2312"/>
          <w:color w:val="auto"/>
          <w:sz w:val="32"/>
          <w:szCs w:val="32"/>
          <w:lang w:val="en-US" w:eastAsia="zh-CN"/>
        </w:rPr>
        <w:t>54899</w:t>
      </w:r>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eastAsia="zh-CN"/>
        </w:rPr>
        <w:t>调整预算</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102.2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14:paraId="3461B3B7">
      <w:pPr>
        <w:keepNext w:val="0"/>
        <w:keepLines w:val="0"/>
        <w:pageBreakBefore w:val="0"/>
        <w:widowControl w:val="0"/>
        <w:kinsoku/>
        <w:wordWrap/>
        <w:overflowPunct/>
        <w:topLinePunct w:val="0"/>
        <w:autoSpaceDE/>
        <w:autoSpaceDN/>
        <w:bidi w:val="0"/>
        <w:adjustRightInd/>
        <w:snapToGrid/>
        <w:spacing w:line="572" w:lineRule="exact"/>
        <w:ind w:lef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2.国防支出102万元，为调整预算的100%；</w:t>
      </w:r>
    </w:p>
    <w:p w14:paraId="70913593">
      <w:pPr>
        <w:keepNext w:val="0"/>
        <w:keepLines w:val="0"/>
        <w:pageBreakBefore w:val="0"/>
        <w:widowControl w:val="0"/>
        <w:kinsoku/>
        <w:wordWrap/>
        <w:overflowPunct/>
        <w:topLinePunct w:val="0"/>
        <w:autoSpaceDE/>
        <w:autoSpaceDN/>
        <w:bidi w:val="0"/>
        <w:adjustRightInd/>
        <w:snapToGrid/>
        <w:spacing w:line="572" w:lineRule="exact"/>
        <w:ind w:lef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公共安全支出</w:t>
      </w:r>
      <w:r>
        <w:rPr>
          <w:rFonts w:hint="eastAsia" w:ascii="仿宋_GB2312" w:hAnsi="仿宋_GB2312" w:eastAsia="仿宋_GB2312" w:cs="仿宋_GB2312"/>
          <w:color w:val="auto"/>
          <w:sz w:val="32"/>
          <w:szCs w:val="32"/>
          <w:lang w:val="en-US" w:eastAsia="zh-CN"/>
        </w:rPr>
        <w:t>14813</w:t>
      </w:r>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eastAsia="zh-CN"/>
        </w:rPr>
        <w:t>调整预算</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100.3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14:paraId="31F1D8D6">
      <w:pPr>
        <w:keepNext w:val="0"/>
        <w:keepLines w:val="0"/>
        <w:pageBreakBefore w:val="0"/>
        <w:widowControl w:val="0"/>
        <w:kinsoku/>
        <w:wordWrap/>
        <w:overflowPunct/>
        <w:topLinePunct w:val="0"/>
        <w:autoSpaceDE/>
        <w:autoSpaceDN/>
        <w:bidi w:val="0"/>
        <w:adjustRightInd/>
        <w:snapToGrid/>
        <w:spacing w:line="572" w:lineRule="exact"/>
        <w:ind w:lef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.教育支出</w:t>
      </w:r>
      <w:r>
        <w:rPr>
          <w:rFonts w:hint="eastAsia" w:ascii="仿宋_GB2312" w:hAnsi="仿宋_GB2312" w:eastAsia="仿宋_GB2312" w:cs="仿宋_GB2312"/>
          <w:color w:val="auto"/>
          <w:sz w:val="32"/>
          <w:szCs w:val="32"/>
          <w:lang w:val="en-US" w:eastAsia="zh-CN"/>
        </w:rPr>
        <w:t>94673</w:t>
      </w:r>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eastAsia="zh-CN"/>
        </w:rPr>
        <w:t>调整预算</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101.5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14:paraId="49DA4662">
      <w:pPr>
        <w:keepNext w:val="0"/>
        <w:keepLines w:val="0"/>
        <w:pageBreakBefore w:val="0"/>
        <w:widowControl w:val="0"/>
        <w:kinsoku/>
        <w:wordWrap/>
        <w:overflowPunct/>
        <w:topLinePunct w:val="0"/>
        <w:autoSpaceDE/>
        <w:autoSpaceDN/>
        <w:bidi w:val="0"/>
        <w:adjustRightInd/>
        <w:snapToGrid/>
        <w:spacing w:line="572" w:lineRule="exact"/>
        <w:ind w:lef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.科学技术支出</w:t>
      </w:r>
      <w:r>
        <w:rPr>
          <w:rFonts w:hint="eastAsia" w:ascii="仿宋_GB2312" w:hAnsi="仿宋_GB2312" w:eastAsia="仿宋_GB2312" w:cs="仿宋_GB2312"/>
          <w:color w:val="auto"/>
          <w:sz w:val="32"/>
          <w:szCs w:val="32"/>
          <w:lang w:val="en-US" w:eastAsia="zh-CN"/>
        </w:rPr>
        <w:t>21183</w:t>
      </w:r>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eastAsia="zh-CN"/>
        </w:rPr>
        <w:t>调整预算</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100.2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14:paraId="1C9AA978">
      <w:pPr>
        <w:keepNext w:val="0"/>
        <w:keepLines w:val="0"/>
        <w:pageBreakBefore w:val="0"/>
        <w:widowControl w:val="0"/>
        <w:kinsoku/>
        <w:wordWrap/>
        <w:overflowPunct/>
        <w:topLinePunct w:val="0"/>
        <w:autoSpaceDE/>
        <w:autoSpaceDN/>
        <w:bidi w:val="0"/>
        <w:adjustRightInd/>
        <w:snapToGrid/>
        <w:spacing w:line="572" w:lineRule="exact"/>
        <w:ind w:lef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文化旅游体育与传媒支出</w:t>
      </w:r>
      <w:r>
        <w:rPr>
          <w:rFonts w:hint="eastAsia" w:ascii="仿宋_GB2312" w:hAnsi="仿宋_GB2312" w:eastAsia="仿宋_GB2312" w:cs="仿宋_GB2312"/>
          <w:color w:val="auto"/>
          <w:sz w:val="32"/>
          <w:szCs w:val="32"/>
          <w:lang w:val="en-US" w:eastAsia="zh-CN"/>
        </w:rPr>
        <w:t>4390</w:t>
      </w:r>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eastAsia="zh-CN"/>
        </w:rPr>
        <w:t>调整预算</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104.8</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14:paraId="5FA4AF67">
      <w:pPr>
        <w:keepNext w:val="0"/>
        <w:keepLines w:val="0"/>
        <w:pageBreakBefore w:val="0"/>
        <w:widowControl w:val="0"/>
        <w:kinsoku/>
        <w:wordWrap/>
        <w:overflowPunct/>
        <w:topLinePunct w:val="0"/>
        <w:autoSpaceDE/>
        <w:autoSpaceDN/>
        <w:bidi w:val="0"/>
        <w:adjustRightInd/>
        <w:snapToGrid/>
        <w:spacing w:line="572" w:lineRule="exact"/>
        <w:ind w:lef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.社会保障和就业支出</w:t>
      </w:r>
      <w:r>
        <w:rPr>
          <w:rFonts w:hint="eastAsia" w:ascii="仿宋_GB2312" w:hAnsi="仿宋_GB2312" w:eastAsia="仿宋_GB2312" w:cs="仿宋_GB2312"/>
          <w:color w:val="auto"/>
          <w:sz w:val="32"/>
          <w:szCs w:val="32"/>
          <w:lang w:val="en-US" w:eastAsia="zh-CN"/>
        </w:rPr>
        <w:t>67396</w:t>
      </w:r>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eastAsia="zh-CN"/>
        </w:rPr>
        <w:t>调整预算</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95.3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14:paraId="6A279FEF">
      <w:pPr>
        <w:keepNext w:val="0"/>
        <w:keepLines w:val="0"/>
        <w:pageBreakBefore w:val="0"/>
        <w:widowControl w:val="0"/>
        <w:kinsoku/>
        <w:wordWrap/>
        <w:overflowPunct/>
        <w:topLinePunct w:val="0"/>
        <w:autoSpaceDE/>
        <w:autoSpaceDN/>
        <w:bidi w:val="0"/>
        <w:adjustRightInd/>
        <w:snapToGrid/>
        <w:spacing w:line="572" w:lineRule="exact"/>
        <w:ind w:lef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.卫生健康支出</w:t>
      </w:r>
      <w:r>
        <w:rPr>
          <w:rFonts w:hint="eastAsia" w:ascii="仿宋_GB2312" w:hAnsi="仿宋_GB2312" w:eastAsia="仿宋_GB2312" w:cs="仿宋_GB2312"/>
          <w:color w:val="auto"/>
          <w:sz w:val="32"/>
          <w:szCs w:val="32"/>
          <w:lang w:val="en-US" w:eastAsia="zh-CN"/>
        </w:rPr>
        <w:t>33717</w:t>
      </w:r>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eastAsia="zh-CN"/>
        </w:rPr>
        <w:t>调整预算</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122.7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14:paraId="3E495465">
      <w:pPr>
        <w:keepNext w:val="0"/>
        <w:keepLines w:val="0"/>
        <w:pageBreakBefore w:val="0"/>
        <w:widowControl w:val="0"/>
        <w:kinsoku/>
        <w:wordWrap/>
        <w:overflowPunct/>
        <w:topLinePunct w:val="0"/>
        <w:autoSpaceDE/>
        <w:autoSpaceDN/>
        <w:bidi w:val="0"/>
        <w:adjustRightInd/>
        <w:snapToGrid/>
        <w:spacing w:line="572" w:lineRule="exact"/>
        <w:ind w:lef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.节能环保支出</w:t>
      </w:r>
      <w:r>
        <w:rPr>
          <w:rFonts w:hint="eastAsia" w:ascii="仿宋_GB2312" w:hAnsi="仿宋_GB2312" w:eastAsia="仿宋_GB2312" w:cs="仿宋_GB2312"/>
          <w:color w:val="auto"/>
          <w:sz w:val="32"/>
          <w:szCs w:val="32"/>
          <w:lang w:val="en-US" w:eastAsia="zh-CN"/>
        </w:rPr>
        <w:t>8975</w:t>
      </w:r>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eastAsia="zh-CN"/>
        </w:rPr>
        <w:t>调整预算</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105.2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14:paraId="138E084C">
      <w:pPr>
        <w:keepNext w:val="0"/>
        <w:keepLines w:val="0"/>
        <w:pageBreakBefore w:val="0"/>
        <w:widowControl w:val="0"/>
        <w:kinsoku/>
        <w:wordWrap/>
        <w:overflowPunct/>
        <w:topLinePunct w:val="0"/>
        <w:autoSpaceDE/>
        <w:autoSpaceDN/>
        <w:bidi w:val="0"/>
        <w:adjustRightInd/>
        <w:snapToGrid/>
        <w:spacing w:line="572" w:lineRule="exact"/>
        <w:ind w:lef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.城乡社区支出</w:t>
      </w:r>
      <w:r>
        <w:rPr>
          <w:rFonts w:hint="eastAsia" w:ascii="仿宋_GB2312" w:hAnsi="仿宋_GB2312" w:eastAsia="仿宋_GB2312" w:cs="仿宋_GB2312"/>
          <w:color w:val="auto"/>
          <w:sz w:val="32"/>
          <w:szCs w:val="32"/>
          <w:lang w:val="en-US" w:eastAsia="zh-CN"/>
        </w:rPr>
        <w:t>48038</w:t>
      </w:r>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eastAsia="zh-CN"/>
        </w:rPr>
        <w:t>调整预算</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349.7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0B971A0F">
      <w:pPr>
        <w:keepNext w:val="0"/>
        <w:keepLines w:val="0"/>
        <w:pageBreakBefore w:val="0"/>
        <w:widowControl w:val="0"/>
        <w:kinsoku/>
        <w:wordWrap/>
        <w:overflowPunct/>
        <w:topLinePunct w:val="0"/>
        <w:autoSpaceDE/>
        <w:autoSpaceDN/>
        <w:bidi w:val="0"/>
        <w:adjustRightInd/>
        <w:snapToGrid/>
        <w:spacing w:line="572" w:lineRule="exact"/>
        <w:ind w:lef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.农林水支出</w:t>
      </w:r>
      <w:r>
        <w:rPr>
          <w:rFonts w:hint="eastAsia" w:ascii="仿宋_GB2312" w:hAnsi="仿宋_GB2312" w:eastAsia="仿宋_GB2312" w:cs="仿宋_GB2312"/>
          <w:color w:val="auto"/>
          <w:sz w:val="32"/>
          <w:szCs w:val="32"/>
          <w:lang w:val="en-US" w:eastAsia="zh-CN"/>
        </w:rPr>
        <w:t>69802</w:t>
      </w:r>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eastAsia="zh-CN"/>
        </w:rPr>
        <w:t>调整预算</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101.5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14:paraId="2AB20DA7">
      <w:pPr>
        <w:keepNext w:val="0"/>
        <w:keepLines w:val="0"/>
        <w:pageBreakBefore w:val="0"/>
        <w:widowControl w:val="0"/>
        <w:kinsoku/>
        <w:wordWrap/>
        <w:overflowPunct/>
        <w:topLinePunct w:val="0"/>
        <w:autoSpaceDE/>
        <w:autoSpaceDN/>
        <w:bidi w:val="0"/>
        <w:adjustRightInd/>
        <w:snapToGrid/>
        <w:spacing w:line="572" w:lineRule="exact"/>
        <w:ind w:lef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.交通运输支出</w:t>
      </w:r>
      <w:r>
        <w:rPr>
          <w:rFonts w:hint="eastAsia" w:ascii="仿宋_GB2312" w:hAnsi="仿宋_GB2312" w:eastAsia="仿宋_GB2312" w:cs="仿宋_GB2312"/>
          <w:color w:val="auto"/>
          <w:sz w:val="32"/>
          <w:szCs w:val="32"/>
          <w:lang w:val="en-US" w:eastAsia="zh-CN"/>
        </w:rPr>
        <w:t>9828</w:t>
      </w:r>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eastAsia="zh-CN"/>
        </w:rPr>
        <w:t>调整预算</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127.8</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14:paraId="6924DFEA">
      <w:pPr>
        <w:keepNext w:val="0"/>
        <w:keepLines w:val="0"/>
        <w:pageBreakBefore w:val="0"/>
        <w:widowControl w:val="0"/>
        <w:kinsoku/>
        <w:wordWrap/>
        <w:overflowPunct/>
        <w:topLinePunct w:val="0"/>
        <w:autoSpaceDE/>
        <w:autoSpaceDN/>
        <w:bidi w:val="0"/>
        <w:adjustRightInd/>
        <w:snapToGrid/>
        <w:spacing w:line="572" w:lineRule="exact"/>
        <w:ind w:lef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.资源勘探工业信息等支出</w:t>
      </w:r>
      <w:r>
        <w:rPr>
          <w:rFonts w:hint="eastAsia" w:ascii="仿宋_GB2312" w:hAnsi="仿宋_GB2312" w:eastAsia="仿宋_GB2312" w:cs="仿宋_GB2312"/>
          <w:color w:val="auto"/>
          <w:sz w:val="32"/>
          <w:szCs w:val="32"/>
          <w:lang w:val="en-US" w:eastAsia="zh-CN"/>
        </w:rPr>
        <w:t>1826</w:t>
      </w:r>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eastAsia="zh-CN"/>
        </w:rPr>
        <w:t>调整预算</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99.1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14:paraId="78844FBA">
      <w:pPr>
        <w:keepNext w:val="0"/>
        <w:keepLines w:val="0"/>
        <w:pageBreakBefore w:val="0"/>
        <w:widowControl w:val="0"/>
        <w:kinsoku/>
        <w:wordWrap/>
        <w:overflowPunct/>
        <w:topLinePunct w:val="0"/>
        <w:autoSpaceDE/>
        <w:autoSpaceDN/>
        <w:bidi w:val="0"/>
        <w:adjustRightInd/>
        <w:snapToGrid/>
        <w:spacing w:line="572" w:lineRule="exact"/>
        <w:ind w:lef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.商业服务业等支出</w:t>
      </w:r>
      <w:r>
        <w:rPr>
          <w:rFonts w:hint="eastAsia" w:ascii="仿宋_GB2312" w:hAnsi="仿宋_GB2312" w:eastAsia="仿宋_GB2312" w:cs="仿宋_GB2312"/>
          <w:color w:val="auto"/>
          <w:sz w:val="32"/>
          <w:szCs w:val="32"/>
          <w:lang w:val="en-US" w:eastAsia="zh-CN"/>
        </w:rPr>
        <w:t>279</w:t>
      </w:r>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eastAsia="zh-CN"/>
        </w:rPr>
        <w:t>调整预算</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106.5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14:paraId="7AE9327D">
      <w:pPr>
        <w:keepNext w:val="0"/>
        <w:keepLines w:val="0"/>
        <w:pageBreakBefore w:val="0"/>
        <w:widowControl w:val="0"/>
        <w:kinsoku/>
        <w:wordWrap/>
        <w:overflowPunct/>
        <w:topLinePunct w:val="0"/>
        <w:autoSpaceDE/>
        <w:autoSpaceDN/>
        <w:bidi w:val="0"/>
        <w:adjustRightInd/>
        <w:snapToGrid/>
        <w:spacing w:line="572" w:lineRule="exact"/>
        <w:ind w:lef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.自然资源海洋气象等支出</w:t>
      </w:r>
      <w:r>
        <w:rPr>
          <w:rFonts w:hint="eastAsia" w:ascii="仿宋_GB2312" w:hAnsi="仿宋_GB2312" w:eastAsia="仿宋_GB2312" w:cs="仿宋_GB2312"/>
          <w:color w:val="auto"/>
          <w:sz w:val="32"/>
          <w:szCs w:val="32"/>
          <w:lang w:val="en-US" w:eastAsia="zh-CN"/>
        </w:rPr>
        <w:t>3389</w:t>
      </w:r>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eastAsia="zh-CN"/>
        </w:rPr>
        <w:t>调整预算</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105.8</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14:paraId="3C6851A0">
      <w:pPr>
        <w:keepNext w:val="0"/>
        <w:keepLines w:val="0"/>
        <w:pageBreakBefore w:val="0"/>
        <w:widowControl w:val="0"/>
        <w:kinsoku/>
        <w:wordWrap/>
        <w:overflowPunct/>
        <w:topLinePunct w:val="0"/>
        <w:autoSpaceDE/>
        <w:autoSpaceDN/>
        <w:bidi w:val="0"/>
        <w:adjustRightInd/>
        <w:snapToGrid/>
        <w:spacing w:line="572" w:lineRule="exact"/>
        <w:ind w:lef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.住房保障支出</w:t>
      </w:r>
      <w:r>
        <w:rPr>
          <w:rFonts w:hint="eastAsia" w:ascii="仿宋_GB2312" w:hAnsi="仿宋_GB2312" w:eastAsia="仿宋_GB2312" w:cs="仿宋_GB2312"/>
          <w:color w:val="auto"/>
          <w:sz w:val="32"/>
          <w:szCs w:val="32"/>
          <w:lang w:val="en-US" w:eastAsia="zh-CN"/>
        </w:rPr>
        <w:t>14797</w:t>
      </w:r>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eastAsia="zh-CN"/>
        </w:rPr>
        <w:t>调整预算</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99.7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14:paraId="4BE09E2F">
      <w:pPr>
        <w:keepNext w:val="0"/>
        <w:keepLines w:val="0"/>
        <w:pageBreakBefore w:val="0"/>
        <w:widowControl w:val="0"/>
        <w:kinsoku/>
        <w:wordWrap/>
        <w:overflowPunct/>
        <w:topLinePunct w:val="0"/>
        <w:autoSpaceDE/>
        <w:autoSpaceDN/>
        <w:bidi w:val="0"/>
        <w:adjustRightInd/>
        <w:snapToGrid/>
        <w:spacing w:line="572" w:lineRule="exact"/>
        <w:ind w:lef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.粮</w:t>
      </w:r>
      <w:r>
        <w:rPr>
          <w:rFonts w:hint="eastAsia" w:ascii="仿宋_GB2312" w:hAnsi="仿宋_GB2312" w:eastAsia="仿宋_GB2312" w:cs="仿宋_GB2312"/>
          <w:color w:val="auto"/>
          <w:sz w:val="32"/>
          <w:szCs w:val="32"/>
          <w:lang w:val="en-US" w:eastAsia="zh-CN"/>
        </w:rPr>
        <w:t>油</w:t>
      </w:r>
      <w:r>
        <w:rPr>
          <w:rFonts w:hint="eastAsia" w:ascii="仿宋_GB2312" w:hAnsi="仿宋_GB2312" w:eastAsia="仿宋_GB2312" w:cs="仿宋_GB2312"/>
          <w:color w:val="auto"/>
          <w:sz w:val="32"/>
          <w:szCs w:val="32"/>
        </w:rPr>
        <w:t>物资储备支出</w:t>
      </w:r>
      <w:r>
        <w:rPr>
          <w:rFonts w:hint="eastAsia" w:ascii="仿宋_GB2312" w:hAnsi="仿宋_GB2312" w:eastAsia="仿宋_GB2312" w:cs="仿宋_GB2312"/>
          <w:color w:val="auto"/>
          <w:sz w:val="32"/>
          <w:szCs w:val="32"/>
          <w:lang w:val="en-US" w:eastAsia="zh-CN"/>
        </w:rPr>
        <w:t>778</w:t>
      </w:r>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eastAsia="zh-CN"/>
        </w:rPr>
        <w:t>调整预算</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112.3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14:paraId="7F2950CC">
      <w:pPr>
        <w:keepNext w:val="0"/>
        <w:keepLines w:val="0"/>
        <w:pageBreakBefore w:val="0"/>
        <w:widowControl w:val="0"/>
        <w:kinsoku/>
        <w:wordWrap/>
        <w:overflowPunct/>
        <w:topLinePunct w:val="0"/>
        <w:autoSpaceDE/>
        <w:autoSpaceDN/>
        <w:bidi w:val="0"/>
        <w:adjustRightInd/>
        <w:snapToGrid/>
        <w:spacing w:line="572" w:lineRule="exact"/>
        <w:ind w:lef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.灾害防治及应急管理支出</w:t>
      </w:r>
      <w:r>
        <w:rPr>
          <w:rFonts w:hint="eastAsia" w:ascii="仿宋_GB2312" w:hAnsi="仿宋_GB2312" w:eastAsia="仿宋_GB2312" w:cs="仿宋_GB2312"/>
          <w:color w:val="auto"/>
          <w:sz w:val="32"/>
          <w:szCs w:val="32"/>
          <w:lang w:val="en-US" w:eastAsia="zh-CN"/>
        </w:rPr>
        <w:t>2404</w:t>
      </w:r>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eastAsia="zh-CN"/>
        </w:rPr>
        <w:t>调整预算</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108.6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14:paraId="138DBE1D">
      <w:pPr>
        <w:keepNext w:val="0"/>
        <w:keepLines w:val="0"/>
        <w:pageBreakBefore w:val="0"/>
        <w:widowControl w:val="0"/>
        <w:kinsoku/>
        <w:wordWrap/>
        <w:overflowPunct/>
        <w:topLinePunct w:val="0"/>
        <w:autoSpaceDE/>
        <w:autoSpaceDN/>
        <w:bidi w:val="0"/>
        <w:adjustRightInd/>
        <w:snapToGrid/>
        <w:spacing w:line="572" w:lineRule="exact"/>
        <w:ind w:lef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.其他支出</w:t>
      </w:r>
      <w:r>
        <w:rPr>
          <w:rFonts w:hint="eastAsia" w:ascii="仿宋_GB2312" w:hAnsi="仿宋_GB2312" w:eastAsia="仿宋_GB2312" w:cs="仿宋_GB2312"/>
          <w:color w:val="auto"/>
          <w:sz w:val="32"/>
          <w:szCs w:val="32"/>
          <w:lang w:val="en-US" w:eastAsia="zh-CN"/>
        </w:rPr>
        <w:t>2343</w:t>
      </w:r>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eastAsia="zh-CN"/>
        </w:rPr>
        <w:t>调整预算</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100.6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14:paraId="66A5AB97">
      <w:pPr>
        <w:keepNext w:val="0"/>
        <w:keepLines w:val="0"/>
        <w:pageBreakBefore w:val="0"/>
        <w:widowControl w:val="0"/>
        <w:kinsoku/>
        <w:wordWrap/>
        <w:overflowPunct/>
        <w:topLinePunct w:val="0"/>
        <w:autoSpaceDE/>
        <w:autoSpaceDN/>
        <w:bidi w:val="0"/>
        <w:adjustRightInd/>
        <w:snapToGrid/>
        <w:spacing w:line="572" w:lineRule="exact"/>
        <w:ind w:lef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.债务付息支出</w:t>
      </w:r>
      <w:r>
        <w:rPr>
          <w:rFonts w:hint="eastAsia" w:ascii="仿宋_GB2312" w:hAnsi="仿宋_GB2312" w:eastAsia="仿宋_GB2312" w:cs="仿宋_GB2312"/>
          <w:color w:val="auto"/>
          <w:sz w:val="32"/>
          <w:szCs w:val="32"/>
          <w:lang w:val="en-US" w:eastAsia="zh-CN"/>
        </w:rPr>
        <w:t>5566</w:t>
      </w:r>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eastAsia="zh-CN"/>
        </w:rPr>
        <w:t>调整预算</w:t>
      </w:r>
      <w:r>
        <w:rPr>
          <w:rFonts w:hint="eastAsia" w:ascii="仿宋_GB2312" w:hAnsi="仿宋_GB2312" w:eastAsia="仿宋_GB2312" w:cs="仿宋_GB2312"/>
          <w:color w:val="auto"/>
          <w:sz w:val="32"/>
          <w:szCs w:val="32"/>
        </w:rPr>
        <w:t>的100%</w:t>
      </w:r>
      <w:r>
        <w:rPr>
          <w:rFonts w:hint="eastAsia" w:ascii="仿宋_GB2312" w:hAnsi="仿宋_GB2312" w:eastAsia="仿宋_GB2312" w:cs="仿宋_GB2312"/>
          <w:color w:val="auto"/>
          <w:sz w:val="32"/>
          <w:szCs w:val="32"/>
          <w:lang w:eastAsia="zh-CN"/>
        </w:rPr>
        <w:t>；</w:t>
      </w:r>
    </w:p>
    <w:p w14:paraId="1A1946B8">
      <w:pPr>
        <w:spacing w:line="600" w:lineRule="exact"/>
        <w:ind w:firstLine="707" w:firstLineChars="221"/>
        <w:rPr>
          <w:rFonts w:hint="eastAsia" w:ascii="仿宋_GB2312" w:hAnsi="仿宋" w:eastAsia="仿宋_GB2312"/>
          <w:sz w:val="32"/>
          <w:szCs w:val="32"/>
        </w:rPr>
      </w:pPr>
    </w:p>
    <w:p w14:paraId="1FBF59D7">
      <w:pPr>
        <w:spacing w:line="600" w:lineRule="exact"/>
        <w:ind w:firstLine="707" w:firstLineChars="221"/>
        <w:rPr>
          <w:rFonts w:hint="eastAsia" w:ascii="仿宋_GB2312" w:hAnsi="仿宋" w:eastAsia="仿宋_GB2312"/>
          <w:sz w:val="32"/>
          <w:szCs w:val="32"/>
        </w:rPr>
      </w:pPr>
    </w:p>
    <w:p w14:paraId="328B0C48">
      <w:pPr>
        <w:spacing w:line="600" w:lineRule="exact"/>
        <w:ind w:firstLine="707" w:firstLineChars="221"/>
        <w:rPr>
          <w:rFonts w:hint="eastAsia" w:ascii="仿宋_GB2312" w:hAnsi="仿宋" w:eastAsia="仿宋_GB2312"/>
          <w:sz w:val="32"/>
          <w:szCs w:val="32"/>
        </w:rPr>
      </w:pPr>
    </w:p>
    <w:p w14:paraId="60C27EC9">
      <w:pPr>
        <w:spacing w:line="600" w:lineRule="exact"/>
        <w:ind w:firstLine="707" w:firstLineChars="221"/>
        <w:rPr>
          <w:rFonts w:hint="eastAsia" w:ascii="仿宋_GB2312" w:hAnsi="仿宋" w:eastAsia="仿宋_GB2312"/>
          <w:sz w:val="32"/>
          <w:szCs w:val="32"/>
        </w:rPr>
      </w:pPr>
    </w:p>
    <w:p w14:paraId="2422B392">
      <w:pPr>
        <w:spacing w:line="600" w:lineRule="exact"/>
        <w:ind w:firstLine="707" w:firstLineChars="221"/>
        <w:rPr>
          <w:rFonts w:hint="eastAsia" w:ascii="仿宋_GB2312" w:hAnsi="仿宋" w:eastAsia="仿宋_GB2312"/>
          <w:sz w:val="32"/>
          <w:szCs w:val="32"/>
        </w:rPr>
      </w:pPr>
    </w:p>
    <w:p w14:paraId="6B980E1B">
      <w:pPr>
        <w:spacing w:line="600" w:lineRule="exact"/>
        <w:ind w:firstLine="707" w:firstLineChars="221"/>
        <w:rPr>
          <w:rFonts w:hint="eastAsia" w:ascii="仿宋_GB2312" w:hAnsi="仿宋" w:eastAsia="仿宋_GB2312"/>
          <w:sz w:val="32"/>
          <w:szCs w:val="32"/>
        </w:rPr>
      </w:pPr>
    </w:p>
    <w:p w14:paraId="20E912B2">
      <w:pPr>
        <w:spacing w:line="600" w:lineRule="exact"/>
        <w:ind w:firstLine="707" w:firstLineChars="221"/>
        <w:rPr>
          <w:rFonts w:hint="eastAsia" w:ascii="仿宋_GB2312" w:hAnsi="仿宋" w:eastAsia="仿宋_GB2312"/>
          <w:sz w:val="32"/>
          <w:szCs w:val="32"/>
        </w:rPr>
      </w:pPr>
    </w:p>
    <w:p w14:paraId="249C2286">
      <w:pPr>
        <w:spacing w:line="600" w:lineRule="exact"/>
        <w:ind w:firstLine="707" w:firstLineChars="221"/>
        <w:rPr>
          <w:rFonts w:hint="eastAsia" w:ascii="仿宋_GB2312" w:hAnsi="仿宋" w:eastAsia="仿宋_GB2312"/>
          <w:sz w:val="32"/>
          <w:szCs w:val="32"/>
        </w:rPr>
      </w:pPr>
    </w:p>
    <w:p w14:paraId="6DD2B4A8">
      <w:pPr>
        <w:spacing w:line="600" w:lineRule="exact"/>
        <w:ind w:firstLine="707" w:firstLineChars="221"/>
        <w:rPr>
          <w:rFonts w:hint="eastAsia" w:ascii="仿宋_GB2312" w:hAnsi="仿宋" w:eastAsia="仿宋_GB2312"/>
          <w:sz w:val="32"/>
          <w:szCs w:val="32"/>
        </w:rPr>
      </w:pPr>
    </w:p>
    <w:p w14:paraId="39114963">
      <w:pPr>
        <w:spacing w:line="600" w:lineRule="exact"/>
        <w:ind w:firstLine="707" w:firstLineChars="221"/>
        <w:rPr>
          <w:rFonts w:hint="eastAsia" w:ascii="仿宋_GB2312" w:hAnsi="仿宋" w:eastAsia="仿宋_GB2312"/>
          <w:sz w:val="32"/>
          <w:szCs w:val="32"/>
        </w:rPr>
      </w:pPr>
    </w:p>
    <w:p w14:paraId="4EB8F1CA">
      <w:pPr>
        <w:spacing w:line="600" w:lineRule="exact"/>
        <w:ind w:firstLine="707" w:firstLineChars="221"/>
        <w:rPr>
          <w:rFonts w:hint="eastAsia" w:ascii="仿宋_GB2312" w:hAnsi="仿宋" w:eastAsia="仿宋_GB2312"/>
          <w:sz w:val="32"/>
          <w:szCs w:val="32"/>
        </w:rPr>
      </w:pPr>
    </w:p>
    <w:p w14:paraId="19FF818A">
      <w:pPr>
        <w:spacing w:line="600" w:lineRule="exact"/>
        <w:ind w:firstLine="707" w:firstLineChars="221"/>
        <w:rPr>
          <w:rFonts w:hint="eastAsia" w:ascii="仿宋_GB2312" w:hAnsi="仿宋" w:eastAsia="仿宋_GB2312"/>
          <w:sz w:val="32"/>
          <w:szCs w:val="32"/>
        </w:rPr>
      </w:pPr>
    </w:p>
    <w:p w14:paraId="025EE714">
      <w:pPr>
        <w:spacing w:line="600" w:lineRule="exact"/>
        <w:ind w:firstLine="707" w:firstLineChars="221"/>
        <w:rPr>
          <w:rFonts w:hint="eastAsia" w:ascii="仿宋_GB2312" w:hAnsi="仿宋" w:eastAsia="仿宋_GB2312"/>
          <w:sz w:val="32"/>
          <w:szCs w:val="32"/>
        </w:rPr>
      </w:pPr>
    </w:p>
    <w:p w14:paraId="09F0F651">
      <w:pPr>
        <w:keepNext w:val="0"/>
        <w:keepLines w:val="0"/>
        <w:pageBreakBefore w:val="0"/>
        <w:widowControl w:val="0"/>
        <w:kinsoku/>
        <w:wordWrap/>
        <w:overflowPunct/>
        <w:topLinePunct w:val="0"/>
        <w:autoSpaceDE/>
        <w:autoSpaceDN/>
        <w:bidi w:val="0"/>
        <w:adjustRightInd/>
        <w:snapToGrid/>
        <w:spacing w:line="20" w:lineRule="exact"/>
        <w:ind w:firstLine="0" w:firstLineChars="0"/>
        <w:textAlignment w:val="auto"/>
        <w:rPr>
          <w:rFonts w:hint="eastAsia" w:ascii="仿宋_GB2312" w:hAnsi="仿宋" w:eastAsia="仿宋_GB2312"/>
          <w:sz w:val="32"/>
          <w:szCs w:val="32"/>
        </w:rPr>
      </w:pPr>
    </w:p>
    <w:tbl>
      <w:tblPr>
        <w:tblStyle w:val="20"/>
        <w:tblW w:w="9258" w:type="dxa"/>
        <w:jc w:val="center"/>
        <w:tblLayout w:type="fixed"/>
        <w:tblCellMar>
          <w:top w:w="0" w:type="dxa"/>
          <w:left w:w="108" w:type="dxa"/>
          <w:bottom w:w="0" w:type="dxa"/>
          <w:right w:w="108" w:type="dxa"/>
        </w:tblCellMar>
      </w:tblPr>
      <w:tblGrid>
        <w:gridCol w:w="3475"/>
        <w:gridCol w:w="1180"/>
        <w:gridCol w:w="765"/>
        <w:gridCol w:w="2737"/>
        <w:gridCol w:w="133"/>
        <w:gridCol w:w="968"/>
      </w:tblGrid>
      <w:tr w14:paraId="08ECDB78">
        <w:tblPrEx>
          <w:tblCellMar>
            <w:top w:w="0" w:type="dxa"/>
            <w:left w:w="108" w:type="dxa"/>
            <w:bottom w:w="0" w:type="dxa"/>
            <w:right w:w="108" w:type="dxa"/>
          </w:tblCellMar>
        </w:tblPrEx>
        <w:trPr>
          <w:trHeight w:val="661" w:hRule="atLeast"/>
          <w:jc w:val="center"/>
        </w:trPr>
        <w:tc>
          <w:tcPr>
            <w:tcW w:w="3475" w:type="dxa"/>
            <w:tcBorders>
              <w:top w:val="nil"/>
              <w:left w:val="nil"/>
              <w:bottom w:val="nil"/>
              <w:right w:val="nil"/>
            </w:tcBorders>
            <w:shd w:val="clear" w:color="auto" w:fill="auto"/>
            <w:vAlign w:val="center"/>
          </w:tcPr>
          <w:p w14:paraId="4B74B302">
            <w:pPr>
              <w:widowControl/>
              <w:jc w:val="left"/>
              <w:rPr>
                <w:rFonts w:hint="eastAsia" w:ascii="宋体" w:hAnsi="宋体" w:eastAsia="宋体" w:cs="宋体"/>
                <w:kern w:val="0"/>
                <w:sz w:val="24"/>
                <w:szCs w:val="24"/>
              </w:rPr>
            </w:pPr>
            <w:bookmarkStart w:id="2" w:name="RANGE!A1:D13"/>
            <w:r>
              <w:rPr>
                <w:rFonts w:hint="eastAsia" w:ascii="黑体" w:hAnsi="黑体" w:eastAsia="黑体" w:cs="黑体"/>
                <w:kern w:val="0"/>
                <w:sz w:val="32"/>
                <w:szCs w:val="32"/>
              </w:rPr>
              <w:t>表四</w:t>
            </w:r>
            <w:bookmarkEnd w:id="2"/>
          </w:p>
        </w:tc>
        <w:tc>
          <w:tcPr>
            <w:tcW w:w="1945" w:type="dxa"/>
            <w:gridSpan w:val="2"/>
            <w:tcBorders>
              <w:top w:val="nil"/>
              <w:left w:val="nil"/>
              <w:bottom w:val="nil"/>
              <w:right w:val="nil"/>
            </w:tcBorders>
            <w:shd w:val="clear" w:color="auto" w:fill="auto"/>
            <w:vAlign w:val="center"/>
          </w:tcPr>
          <w:p w14:paraId="32C64816">
            <w:pPr>
              <w:widowControl/>
              <w:jc w:val="left"/>
              <w:rPr>
                <w:rFonts w:hint="eastAsia" w:ascii="宋体" w:hAnsi="宋体" w:eastAsia="宋体" w:cs="宋体"/>
                <w:color w:val="000000"/>
                <w:kern w:val="0"/>
                <w:sz w:val="24"/>
                <w:szCs w:val="24"/>
              </w:rPr>
            </w:pPr>
          </w:p>
        </w:tc>
        <w:tc>
          <w:tcPr>
            <w:tcW w:w="2870" w:type="dxa"/>
            <w:gridSpan w:val="2"/>
            <w:tcBorders>
              <w:top w:val="nil"/>
              <w:left w:val="nil"/>
              <w:bottom w:val="nil"/>
              <w:right w:val="nil"/>
            </w:tcBorders>
            <w:shd w:val="clear" w:color="auto" w:fill="auto"/>
            <w:vAlign w:val="center"/>
          </w:tcPr>
          <w:p w14:paraId="2152EF79">
            <w:pPr>
              <w:widowControl/>
              <w:jc w:val="left"/>
              <w:rPr>
                <w:rFonts w:hint="eastAsia" w:ascii="宋体" w:hAnsi="宋体" w:eastAsia="宋体" w:cs="宋体"/>
                <w:color w:val="000000"/>
                <w:kern w:val="0"/>
                <w:sz w:val="24"/>
                <w:szCs w:val="24"/>
              </w:rPr>
            </w:pPr>
          </w:p>
        </w:tc>
        <w:tc>
          <w:tcPr>
            <w:tcW w:w="968" w:type="dxa"/>
            <w:tcBorders>
              <w:top w:val="nil"/>
              <w:left w:val="nil"/>
              <w:bottom w:val="nil"/>
              <w:right w:val="nil"/>
            </w:tcBorders>
            <w:shd w:val="clear" w:color="auto" w:fill="auto"/>
            <w:vAlign w:val="center"/>
          </w:tcPr>
          <w:p w14:paraId="3A142EB2">
            <w:pPr>
              <w:widowControl/>
              <w:jc w:val="left"/>
              <w:rPr>
                <w:rFonts w:hint="eastAsia" w:ascii="宋体" w:hAnsi="宋体" w:eastAsia="宋体" w:cs="宋体"/>
                <w:color w:val="000000"/>
                <w:kern w:val="0"/>
                <w:sz w:val="24"/>
                <w:szCs w:val="24"/>
              </w:rPr>
            </w:pPr>
          </w:p>
        </w:tc>
      </w:tr>
      <w:tr w14:paraId="53E8D1F6">
        <w:tblPrEx>
          <w:tblCellMar>
            <w:top w:w="0" w:type="dxa"/>
            <w:left w:w="108" w:type="dxa"/>
            <w:bottom w:w="0" w:type="dxa"/>
            <w:right w:w="108" w:type="dxa"/>
          </w:tblCellMar>
        </w:tblPrEx>
        <w:trPr>
          <w:trHeight w:val="1144" w:hRule="atLeast"/>
          <w:jc w:val="center"/>
        </w:trPr>
        <w:tc>
          <w:tcPr>
            <w:tcW w:w="9258" w:type="dxa"/>
            <w:gridSpan w:val="6"/>
            <w:tcBorders>
              <w:top w:val="nil"/>
              <w:left w:val="nil"/>
              <w:bottom w:val="nil"/>
              <w:right w:val="nil"/>
            </w:tcBorders>
            <w:shd w:val="clear" w:color="auto" w:fill="auto"/>
            <w:vAlign w:val="center"/>
          </w:tcPr>
          <w:p w14:paraId="779E312A">
            <w:pPr>
              <w:pStyle w:val="48"/>
              <w:rPr>
                <w:rFonts w:hint="eastAsia" w:ascii="宋体" w:hAnsi="宋体" w:eastAsia="宋体" w:cs="宋体"/>
                <w:sz w:val="24"/>
                <w:szCs w:val="24"/>
              </w:rPr>
            </w:pPr>
            <w:r>
              <w:rPr>
                <w:rFonts w:hint="eastAsia" w:ascii="方正小标宋简体" w:hAnsi="方正小标宋简体" w:eastAsia="方正小标宋简体" w:cs="方正小标宋简体"/>
                <w:sz w:val="44"/>
                <w:szCs w:val="44"/>
              </w:rPr>
              <w:t>202</w:t>
            </w:r>
            <w:r>
              <w:rPr>
                <w:rFonts w:hint="eastAsia" w:hAnsi="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年政府性基金收支执行情况总表</w:t>
            </w:r>
          </w:p>
        </w:tc>
      </w:tr>
      <w:tr w14:paraId="6ED1F4DC">
        <w:tblPrEx>
          <w:tblCellMar>
            <w:top w:w="0" w:type="dxa"/>
            <w:left w:w="108" w:type="dxa"/>
            <w:bottom w:w="0" w:type="dxa"/>
            <w:right w:w="108" w:type="dxa"/>
          </w:tblCellMar>
        </w:tblPrEx>
        <w:trPr>
          <w:trHeight w:val="683" w:hRule="atLeast"/>
          <w:jc w:val="center"/>
        </w:trPr>
        <w:tc>
          <w:tcPr>
            <w:tcW w:w="3475" w:type="dxa"/>
            <w:tcBorders>
              <w:top w:val="nil"/>
              <w:left w:val="nil"/>
              <w:bottom w:val="nil"/>
              <w:right w:val="nil"/>
            </w:tcBorders>
            <w:shd w:val="clear" w:color="auto" w:fill="auto"/>
            <w:vAlign w:val="center"/>
          </w:tcPr>
          <w:p w14:paraId="4E1FFB2F">
            <w:pPr>
              <w:widowControl/>
              <w:jc w:val="left"/>
              <w:rPr>
                <w:rFonts w:hint="eastAsia" w:ascii="宋体" w:hAnsi="宋体" w:eastAsia="宋体" w:cs="宋体"/>
                <w:kern w:val="0"/>
                <w:sz w:val="24"/>
                <w:szCs w:val="24"/>
              </w:rPr>
            </w:pPr>
          </w:p>
        </w:tc>
        <w:tc>
          <w:tcPr>
            <w:tcW w:w="1180" w:type="dxa"/>
            <w:tcBorders>
              <w:top w:val="nil"/>
              <w:left w:val="nil"/>
              <w:bottom w:val="nil"/>
              <w:right w:val="nil"/>
            </w:tcBorders>
            <w:shd w:val="clear" w:color="auto" w:fill="auto"/>
            <w:vAlign w:val="center"/>
          </w:tcPr>
          <w:p w14:paraId="0F789433">
            <w:pPr>
              <w:widowControl/>
              <w:jc w:val="right"/>
              <w:rPr>
                <w:rFonts w:hint="eastAsia" w:ascii="宋体" w:hAnsi="宋体" w:eastAsia="宋体" w:cs="宋体"/>
                <w:kern w:val="0"/>
                <w:sz w:val="24"/>
                <w:szCs w:val="24"/>
              </w:rPr>
            </w:pPr>
          </w:p>
        </w:tc>
        <w:tc>
          <w:tcPr>
            <w:tcW w:w="4603" w:type="dxa"/>
            <w:gridSpan w:val="4"/>
            <w:tcBorders>
              <w:top w:val="nil"/>
              <w:left w:val="nil"/>
              <w:bottom w:val="nil"/>
              <w:right w:val="nil"/>
            </w:tcBorders>
            <w:shd w:val="clear" w:color="auto" w:fill="auto"/>
            <w:vAlign w:val="center"/>
          </w:tcPr>
          <w:p w14:paraId="707ED207">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单位</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万元</w:t>
            </w:r>
          </w:p>
        </w:tc>
      </w:tr>
      <w:tr w14:paraId="6A7918A8">
        <w:tblPrEx>
          <w:tblCellMar>
            <w:top w:w="0" w:type="dxa"/>
            <w:left w:w="108" w:type="dxa"/>
            <w:bottom w:w="0" w:type="dxa"/>
            <w:right w:w="108" w:type="dxa"/>
          </w:tblCellMar>
        </w:tblPrEx>
        <w:trPr>
          <w:trHeight w:val="693" w:hRule="atLeast"/>
          <w:jc w:val="center"/>
        </w:trPr>
        <w:tc>
          <w:tcPr>
            <w:tcW w:w="3475" w:type="dxa"/>
            <w:tcBorders>
              <w:top w:val="single" w:color="auto" w:sz="4" w:space="0"/>
              <w:left w:val="single" w:color="auto" w:sz="4" w:space="0"/>
              <w:bottom w:val="single" w:color="auto" w:sz="4" w:space="0"/>
              <w:right w:val="single" w:color="auto" w:sz="4" w:space="0"/>
            </w:tcBorders>
            <w:shd w:val="clear" w:color="auto" w:fill="auto"/>
            <w:vAlign w:val="center"/>
          </w:tcPr>
          <w:p w14:paraId="3223DBD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项目</w:t>
            </w:r>
          </w:p>
        </w:tc>
        <w:tc>
          <w:tcPr>
            <w:tcW w:w="1180" w:type="dxa"/>
            <w:tcBorders>
              <w:top w:val="single" w:color="auto" w:sz="4" w:space="0"/>
              <w:left w:val="nil"/>
              <w:bottom w:val="single" w:color="auto" w:sz="4" w:space="0"/>
              <w:right w:val="single" w:color="auto" w:sz="4" w:space="0"/>
            </w:tcBorders>
            <w:shd w:val="clear" w:color="auto" w:fill="auto"/>
            <w:vAlign w:val="center"/>
          </w:tcPr>
          <w:p w14:paraId="12A6770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收入</w:t>
            </w:r>
          </w:p>
          <w:p w14:paraId="316B28B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执行数</w:t>
            </w:r>
          </w:p>
        </w:tc>
        <w:tc>
          <w:tcPr>
            <w:tcW w:w="3502" w:type="dxa"/>
            <w:gridSpan w:val="2"/>
            <w:tcBorders>
              <w:top w:val="single" w:color="auto" w:sz="4" w:space="0"/>
              <w:left w:val="nil"/>
              <w:bottom w:val="single" w:color="auto" w:sz="4" w:space="0"/>
              <w:right w:val="single" w:color="auto" w:sz="4" w:space="0"/>
            </w:tcBorders>
            <w:shd w:val="clear" w:color="auto" w:fill="auto"/>
            <w:vAlign w:val="center"/>
          </w:tcPr>
          <w:p w14:paraId="48209CB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预算科目</w:t>
            </w:r>
          </w:p>
        </w:tc>
        <w:tc>
          <w:tcPr>
            <w:tcW w:w="1101" w:type="dxa"/>
            <w:gridSpan w:val="2"/>
            <w:tcBorders>
              <w:top w:val="single" w:color="auto" w:sz="4" w:space="0"/>
              <w:left w:val="nil"/>
              <w:bottom w:val="single" w:color="auto" w:sz="4" w:space="0"/>
              <w:right w:val="single" w:color="auto" w:sz="4" w:space="0"/>
            </w:tcBorders>
            <w:shd w:val="clear" w:color="auto" w:fill="auto"/>
            <w:vAlign w:val="center"/>
          </w:tcPr>
          <w:p w14:paraId="464EEC3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支出</w:t>
            </w:r>
          </w:p>
          <w:p w14:paraId="6B8CD75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执行数</w:t>
            </w:r>
          </w:p>
        </w:tc>
      </w:tr>
      <w:tr w14:paraId="364D646C">
        <w:tblPrEx>
          <w:tblCellMar>
            <w:top w:w="0" w:type="dxa"/>
            <w:left w:w="108" w:type="dxa"/>
            <w:bottom w:w="0" w:type="dxa"/>
            <w:right w:w="108" w:type="dxa"/>
          </w:tblCellMar>
        </w:tblPrEx>
        <w:trPr>
          <w:trHeight w:val="693" w:hRule="atLeast"/>
          <w:jc w:val="center"/>
        </w:trPr>
        <w:tc>
          <w:tcPr>
            <w:tcW w:w="3475" w:type="dxa"/>
            <w:tcBorders>
              <w:top w:val="nil"/>
              <w:left w:val="single" w:color="auto" w:sz="4" w:space="0"/>
              <w:bottom w:val="single" w:color="auto" w:sz="4" w:space="0"/>
              <w:right w:val="single" w:color="auto" w:sz="4" w:space="0"/>
            </w:tcBorders>
            <w:shd w:val="clear" w:color="auto" w:fill="auto"/>
            <w:vAlign w:val="center"/>
          </w:tcPr>
          <w:p w14:paraId="7B47A31A">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一、县本级政府性基金收入</w:t>
            </w:r>
          </w:p>
        </w:tc>
        <w:tc>
          <w:tcPr>
            <w:tcW w:w="1180" w:type="dxa"/>
            <w:tcBorders>
              <w:top w:val="nil"/>
              <w:left w:val="nil"/>
              <w:bottom w:val="single" w:color="auto" w:sz="4" w:space="0"/>
              <w:right w:val="single" w:color="auto" w:sz="4" w:space="0"/>
            </w:tcBorders>
            <w:shd w:val="clear" w:color="auto" w:fill="auto"/>
            <w:vAlign w:val="center"/>
          </w:tcPr>
          <w:p w14:paraId="3FD2918E">
            <w:pPr>
              <w:keepNext w:val="0"/>
              <w:keepLines w:val="0"/>
              <w:widowControl/>
              <w:suppressLineNumbers w:val="0"/>
              <w:jc w:val="center"/>
              <w:textAlignment w:val="center"/>
              <w:rPr>
                <w:rFonts w:hint="default"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112080</w:t>
            </w:r>
          </w:p>
        </w:tc>
        <w:tc>
          <w:tcPr>
            <w:tcW w:w="3502" w:type="dxa"/>
            <w:gridSpan w:val="2"/>
            <w:tcBorders>
              <w:top w:val="nil"/>
              <w:left w:val="nil"/>
              <w:bottom w:val="single" w:color="auto" w:sz="4" w:space="0"/>
              <w:right w:val="single" w:color="auto" w:sz="4" w:space="0"/>
            </w:tcBorders>
            <w:shd w:val="clear" w:color="auto" w:fill="auto"/>
            <w:vAlign w:val="center"/>
          </w:tcPr>
          <w:p w14:paraId="6E08EF51">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一、政府性基金支出</w:t>
            </w:r>
          </w:p>
        </w:tc>
        <w:tc>
          <w:tcPr>
            <w:tcW w:w="1101" w:type="dxa"/>
            <w:gridSpan w:val="2"/>
            <w:tcBorders>
              <w:top w:val="nil"/>
              <w:left w:val="nil"/>
              <w:bottom w:val="single" w:color="auto" w:sz="4" w:space="0"/>
              <w:right w:val="single" w:color="auto" w:sz="4" w:space="0"/>
            </w:tcBorders>
            <w:shd w:val="clear" w:color="auto" w:fill="auto"/>
            <w:vAlign w:val="center"/>
          </w:tcPr>
          <w:p w14:paraId="3588CD2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226840</w:t>
            </w:r>
          </w:p>
        </w:tc>
      </w:tr>
      <w:tr w14:paraId="1A9BD1AB">
        <w:tblPrEx>
          <w:tblCellMar>
            <w:top w:w="0" w:type="dxa"/>
            <w:left w:w="108" w:type="dxa"/>
            <w:bottom w:w="0" w:type="dxa"/>
            <w:right w:w="108" w:type="dxa"/>
          </w:tblCellMar>
        </w:tblPrEx>
        <w:trPr>
          <w:trHeight w:val="693" w:hRule="atLeast"/>
          <w:jc w:val="center"/>
        </w:trPr>
        <w:tc>
          <w:tcPr>
            <w:tcW w:w="3475" w:type="dxa"/>
            <w:tcBorders>
              <w:top w:val="nil"/>
              <w:left w:val="single" w:color="auto" w:sz="4" w:space="0"/>
              <w:bottom w:val="single" w:color="auto" w:sz="4" w:space="0"/>
              <w:right w:val="single" w:color="auto" w:sz="4" w:space="0"/>
            </w:tcBorders>
            <w:shd w:val="clear" w:color="auto" w:fill="auto"/>
            <w:vAlign w:val="center"/>
          </w:tcPr>
          <w:p w14:paraId="71435953">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二、转移</w:t>
            </w:r>
            <w:r>
              <w:rPr>
                <w:rFonts w:hint="eastAsia" w:ascii="宋体" w:hAnsi="宋体" w:eastAsia="宋体" w:cs="宋体"/>
                <w:kern w:val="0"/>
                <w:sz w:val="24"/>
                <w:szCs w:val="24"/>
                <w:lang w:val="en-US" w:eastAsia="zh-CN"/>
              </w:rPr>
              <w:t>支付</w:t>
            </w:r>
            <w:r>
              <w:rPr>
                <w:rFonts w:hint="eastAsia" w:ascii="宋体" w:hAnsi="宋体" w:eastAsia="宋体" w:cs="宋体"/>
                <w:kern w:val="0"/>
                <w:sz w:val="24"/>
                <w:szCs w:val="24"/>
              </w:rPr>
              <w:t>收入</w:t>
            </w:r>
          </w:p>
        </w:tc>
        <w:tc>
          <w:tcPr>
            <w:tcW w:w="1180" w:type="dxa"/>
            <w:tcBorders>
              <w:top w:val="nil"/>
              <w:left w:val="nil"/>
              <w:bottom w:val="single" w:color="auto" w:sz="4" w:space="0"/>
              <w:right w:val="single" w:color="auto" w:sz="4" w:space="0"/>
            </w:tcBorders>
            <w:shd w:val="clear" w:color="auto" w:fill="auto"/>
            <w:vAlign w:val="center"/>
          </w:tcPr>
          <w:p w14:paraId="55876122">
            <w:pPr>
              <w:keepNext w:val="0"/>
              <w:keepLines w:val="0"/>
              <w:widowControl/>
              <w:suppressLineNumbers w:val="0"/>
              <w:jc w:val="center"/>
              <w:textAlignment w:val="center"/>
              <w:rPr>
                <w:rFonts w:hint="default"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21938</w:t>
            </w:r>
          </w:p>
        </w:tc>
        <w:tc>
          <w:tcPr>
            <w:tcW w:w="3502" w:type="dxa"/>
            <w:gridSpan w:val="2"/>
            <w:tcBorders>
              <w:top w:val="nil"/>
              <w:left w:val="nil"/>
              <w:bottom w:val="single" w:color="auto" w:sz="4" w:space="0"/>
              <w:right w:val="single" w:color="auto" w:sz="4" w:space="0"/>
            </w:tcBorders>
            <w:shd w:val="clear" w:color="auto" w:fill="auto"/>
            <w:vAlign w:val="center"/>
          </w:tcPr>
          <w:p w14:paraId="26405D71">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二、转移</w:t>
            </w:r>
            <w:r>
              <w:rPr>
                <w:rFonts w:hint="eastAsia" w:ascii="宋体" w:hAnsi="宋体" w:eastAsia="宋体" w:cs="宋体"/>
                <w:kern w:val="0"/>
                <w:sz w:val="24"/>
                <w:szCs w:val="24"/>
                <w:lang w:val="en-US" w:eastAsia="zh-CN"/>
              </w:rPr>
              <w:t>支付</w:t>
            </w:r>
            <w:r>
              <w:rPr>
                <w:rFonts w:hint="eastAsia" w:ascii="宋体" w:hAnsi="宋体" w:eastAsia="宋体" w:cs="宋体"/>
                <w:kern w:val="0"/>
                <w:sz w:val="24"/>
                <w:szCs w:val="24"/>
              </w:rPr>
              <w:t>支出</w:t>
            </w:r>
          </w:p>
        </w:tc>
        <w:tc>
          <w:tcPr>
            <w:tcW w:w="1101" w:type="dxa"/>
            <w:gridSpan w:val="2"/>
            <w:tcBorders>
              <w:top w:val="nil"/>
              <w:left w:val="nil"/>
              <w:bottom w:val="single" w:color="auto" w:sz="4" w:space="0"/>
              <w:right w:val="single" w:color="auto" w:sz="4" w:space="0"/>
            </w:tcBorders>
            <w:shd w:val="clear" w:color="auto" w:fill="auto"/>
            <w:vAlign w:val="center"/>
          </w:tcPr>
          <w:p w14:paraId="328FB940">
            <w:pPr>
              <w:widowControl/>
              <w:jc w:val="center"/>
              <w:rPr>
                <w:rFonts w:hint="eastAsia" w:ascii="宋体" w:hAnsi="宋体" w:eastAsia="宋体" w:cs="宋体"/>
                <w:kern w:val="0"/>
                <w:sz w:val="24"/>
                <w:szCs w:val="24"/>
              </w:rPr>
            </w:pPr>
            <w:r>
              <w:rPr>
                <w:rFonts w:ascii="宋体" w:hAnsi="宋体" w:eastAsia="宋体" w:cs="宋体"/>
                <w:sz w:val="24"/>
                <w:szCs w:val="24"/>
              </w:rPr>
              <w:t>—</w:t>
            </w:r>
          </w:p>
        </w:tc>
      </w:tr>
      <w:tr w14:paraId="2C960F1C">
        <w:tblPrEx>
          <w:tblCellMar>
            <w:top w:w="0" w:type="dxa"/>
            <w:left w:w="108" w:type="dxa"/>
            <w:bottom w:w="0" w:type="dxa"/>
            <w:right w:w="108" w:type="dxa"/>
          </w:tblCellMar>
        </w:tblPrEx>
        <w:trPr>
          <w:trHeight w:val="693" w:hRule="atLeast"/>
          <w:jc w:val="center"/>
        </w:trPr>
        <w:tc>
          <w:tcPr>
            <w:tcW w:w="3475" w:type="dxa"/>
            <w:tcBorders>
              <w:top w:val="nil"/>
              <w:left w:val="single" w:color="auto" w:sz="4" w:space="0"/>
              <w:bottom w:val="single" w:color="auto" w:sz="4" w:space="0"/>
              <w:right w:val="single" w:color="auto" w:sz="4" w:space="0"/>
            </w:tcBorders>
            <w:shd w:val="clear" w:color="auto" w:fill="auto"/>
            <w:vAlign w:val="center"/>
          </w:tcPr>
          <w:p w14:paraId="5974136E">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三、下级上解收入</w:t>
            </w:r>
          </w:p>
        </w:tc>
        <w:tc>
          <w:tcPr>
            <w:tcW w:w="1180" w:type="dxa"/>
            <w:tcBorders>
              <w:top w:val="nil"/>
              <w:left w:val="nil"/>
              <w:bottom w:val="single" w:color="auto" w:sz="4" w:space="0"/>
              <w:right w:val="single" w:color="auto" w:sz="4" w:space="0"/>
            </w:tcBorders>
            <w:shd w:val="clear" w:color="auto" w:fill="auto"/>
            <w:vAlign w:val="center"/>
          </w:tcPr>
          <w:p w14:paraId="35DA9E79">
            <w:pPr>
              <w:widowControl/>
              <w:jc w:val="center"/>
              <w:rPr>
                <w:rFonts w:hint="eastAsia" w:ascii="宋体" w:hAnsi="宋体" w:eastAsia="宋体" w:cs="宋体"/>
                <w:kern w:val="0"/>
                <w:sz w:val="24"/>
                <w:szCs w:val="24"/>
              </w:rPr>
            </w:pPr>
            <w:r>
              <w:rPr>
                <w:rFonts w:ascii="宋体" w:hAnsi="宋体" w:eastAsia="宋体" w:cs="宋体"/>
                <w:sz w:val="24"/>
                <w:szCs w:val="24"/>
              </w:rPr>
              <w:t>—</w:t>
            </w:r>
          </w:p>
        </w:tc>
        <w:tc>
          <w:tcPr>
            <w:tcW w:w="3502" w:type="dxa"/>
            <w:gridSpan w:val="2"/>
            <w:tcBorders>
              <w:top w:val="nil"/>
              <w:left w:val="nil"/>
              <w:bottom w:val="single" w:color="auto" w:sz="4" w:space="0"/>
              <w:right w:val="single" w:color="auto" w:sz="4" w:space="0"/>
            </w:tcBorders>
            <w:shd w:val="clear" w:color="auto" w:fill="auto"/>
            <w:vAlign w:val="center"/>
          </w:tcPr>
          <w:p w14:paraId="50A5D4D1">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三、上解支出</w:t>
            </w:r>
          </w:p>
        </w:tc>
        <w:tc>
          <w:tcPr>
            <w:tcW w:w="1101" w:type="dxa"/>
            <w:gridSpan w:val="2"/>
            <w:tcBorders>
              <w:top w:val="nil"/>
              <w:left w:val="nil"/>
              <w:bottom w:val="single" w:color="auto" w:sz="4" w:space="0"/>
              <w:right w:val="single" w:color="auto" w:sz="4" w:space="0"/>
            </w:tcBorders>
            <w:shd w:val="clear" w:color="auto" w:fill="auto"/>
            <w:vAlign w:val="center"/>
          </w:tcPr>
          <w:p w14:paraId="1FCA334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4327</w:t>
            </w:r>
          </w:p>
        </w:tc>
      </w:tr>
      <w:tr w14:paraId="4272AC19">
        <w:tblPrEx>
          <w:tblCellMar>
            <w:top w:w="0" w:type="dxa"/>
            <w:left w:w="108" w:type="dxa"/>
            <w:bottom w:w="0" w:type="dxa"/>
            <w:right w:w="108" w:type="dxa"/>
          </w:tblCellMar>
        </w:tblPrEx>
        <w:trPr>
          <w:trHeight w:val="693" w:hRule="atLeast"/>
          <w:jc w:val="center"/>
        </w:trPr>
        <w:tc>
          <w:tcPr>
            <w:tcW w:w="3475" w:type="dxa"/>
            <w:tcBorders>
              <w:top w:val="nil"/>
              <w:left w:val="single" w:color="auto" w:sz="4" w:space="0"/>
              <w:bottom w:val="single" w:color="auto" w:sz="4" w:space="0"/>
              <w:right w:val="single" w:color="auto" w:sz="4" w:space="0"/>
            </w:tcBorders>
            <w:shd w:val="clear" w:color="auto" w:fill="auto"/>
            <w:vAlign w:val="center"/>
          </w:tcPr>
          <w:p w14:paraId="5FE131AE">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四、上年结余收入</w:t>
            </w:r>
          </w:p>
        </w:tc>
        <w:tc>
          <w:tcPr>
            <w:tcW w:w="1180" w:type="dxa"/>
            <w:tcBorders>
              <w:top w:val="nil"/>
              <w:left w:val="nil"/>
              <w:bottom w:val="single" w:color="auto" w:sz="4" w:space="0"/>
              <w:right w:val="single" w:color="auto" w:sz="4" w:space="0"/>
            </w:tcBorders>
            <w:shd w:val="clear" w:color="auto" w:fill="auto"/>
            <w:vAlign w:val="center"/>
          </w:tcPr>
          <w:p w14:paraId="3F8C111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104217</w:t>
            </w:r>
          </w:p>
        </w:tc>
        <w:tc>
          <w:tcPr>
            <w:tcW w:w="3502" w:type="dxa"/>
            <w:gridSpan w:val="2"/>
            <w:tcBorders>
              <w:top w:val="nil"/>
              <w:left w:val="nil"/>
              <w:bottom w:val="single" w:color="auto" w:sz="4" w:space="0"/>
              <w:right w:val="single" w:color="auto" w:sz="4" w:space="0"/>
            </w:tcBorders>
            <w:shd w:val="clear" w:color="auto" w:fill="auto"/>
            <w:vAlign w:val="center"/>
          </w:tcPr>
          <w:p w14:paraId="76DC6C83">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四、年终结余</w:t>
            </w:r>
          </w:p>
        </w:tc>
        <w:tc>
          <w:tcPr>
            <w:tcW w:w="1101" w:type="dxa"/>
            <w:gridSpan w:val="2"/>
            <w:tcBorders>
              <w:top w:val="nil"/>
              <w:left w:val="nil"/>
              <w:bottom w:val="single" w:color="auto" w:sz="4" w:space="0"/>
              <w:right w:val="single" w:color="auto" w:sz="4" w:space="0"/>
            </w:tcBorders>
            <w:shd w:val="clear" w:color="auto" w:fill="auto"/>
            <w:vAlign w:val="center"/>
          </w:tcPr>
          <w:p w14:paraId="11940D5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76866</w:t>
            </w:r>
          </w:p>
        </w:tc>
      </w:tr>
      <w:tr w14:paraId="6C2FE3A2">
        <w:tblPrEx>
          <w:tblCellMar>
            <w:top w:w="0" w:type="dxa"/>
            <w:left w:w="108" w:type="dxa"/>
            <w:bottom w:w="0" w:type="dxa"/>
            <w:right w:w="108" w:type="dxa"/>
          </w:tblCellMar>
        </w:tblPrEx>
        <w:trPr>
          <w:trHeight w:val="693" w:hRule="atLeast"/>
          <w:jc w:val="center"/>
        </w:trPr>
        <w:tc>
          <w:tcPr>
            <w:tcW w:w="3475" w:type="dxa"/>
            <w:tcBorders>
              <w:top w:val="nil"/>
              <w:left w:val="single" w:color="auto" w:sz="4" w:space="0"/>
              <w:bottom w:val="single" w:color="auto" w:sz="4" w:space="0"/>
              <w:right w:val="single" w:color="auto" w:sz="4" w:space="0"/>
            </w:tcBorders>
            <w:shd w:val="clear" w:color="auto" w:fill="auto"/>
            <w:vAlign w:val="center"/>
          </w:tcPr>
          <w:p w14:paraId="0EC5C013">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五、调入资金</w:t>
            </w:r>
          </w:p>
        </w:tc>
        <w:tc>
          <w:tcPr>
            <w:tcW w:w="1180" w:type="dxa"/>
            <w:tcBorders>
              <w:top w:val="nil"/>
              <w:left w:val="nil"/>
              <w:bottom w:val="single" w:color="auto" w:sz="4" w:space="0"/>
              <w:right w:val="single" w:color="auto" w:sz="4" w:space="0"/>
            </w:tcBorders>
            <w:shd w:val="clear" w:color="auto" w:fill="auto"/>
            <w:vAlign w:val="center"/>
          </w:tcPr>
          <w:p w14:paraId="442E5C40">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1960</w:t>
            </w:r>
          </w:p>
        </w:tc>
        <w:tc>
          <w:tcPr>
            <w:tcW w:w="3502" w:type="dxa"/>
            <w:gridSpan w:val="2"/>
            <w:tcBorders>
              <w:top w:val="nil"/>
              <w:left w:val="nil"/>
              <w:bottom w:val="single" w:color="auto" w:sz="4" w:space="0"/>
              <w:right w:val="single" w:color="auto" w:sz="4" w:space="0"/>
            </w:tcBorders>
            <w:shd w:val="clear" w:color="auto" w:fill="auto"/>
            <w:vAlign w:val="center"/>
          </w:tcPr>
          <w:p w14:paraId="11922514">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五、调出资金</w:t>
            </w:r>
          </w:p>
        </w:tc>
        <w:tc>
          <w:tcPr>
            <w:tcW w:w="1101" w:type="dxa"/>
            <w:gridSpan w:val="2"/>
            <w:tcBorders>
              <w:top w:val="nil"/>
              <w:left w:val="nil"/>
              <w:bottom w:val="single" w:color="auto" w:sz="4" w:space="0"/>
              <w:right w:val="single" w:color="auto" w:sz="4" w:space="0"/>
            </w:tcBorders>
            <w:shd w:val="clear" w:color="auto" w:fill="auto"/>
            <w:vAlign w:val="center"/>
          </w:tcPr>
          <w:p w14:paraId="6888A521">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27945</w:t>
            </w:r>
          </w:p>
        </w:tc>
      </w:tr>
      <w:tr w14:paraId="1DC75C2F">
        <w:tblPrEx>
          <w:tblCellMar>
            <w:top w:w="0" w:type="dxa"/>
            <w:left w:w="108" w:type="dxa"/>
            <w:bottom w:w="0" w:type="dxa"/>
            <w:right w:w="108" w:type="dxa"/>
          </w:tblCellMar>
        </w:tblPrEx>
        <w:trPr>
          <w:trHeight w:val="693" w:hRule="atLeast"/>
          <w:jc w:val="center"/>
        </w:trPr>
        <w:tc>
          <w:tcPr>
            <w:tcW w:w="3475" w:type="dxa"/>
            <w:tcBorders>
              <w:top w:val="nil"/>
              <w:left w:val="single" w:color="auto" w:sz="4" w:space="0"/>
              <w:bottom w:val="single" w:color="auto" w:sz="4" w:space="0"/>
              <w:right w:val="single" w:color="auto" w:sz="4" w:space="0"/>
            </w:tcBorders>
            <w:shd w:val="clear" w:color="auto" w:fill="auto"/>
            <w:vAlign w:val="center"/>
          </w:tcPr>
          <w:p w14:paraId="576F2B8C">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六、地方政府专项债务转贷收入</w:t>
            </w:r>
          </w:p>
        </w:tc>
        <w:tc>
          <w:tcPr>
            <w:tcW w:w="1180" w:type="dxa"/>
            <w:tcBorders>
              <w:top w:val="nil"/>
              <w:left w:val="nil"/>
              <w:bottom w:val="single" w:color="auto" w:sz="4" w:space="0"/>
              <w:right w:val="single" w:color="auto" w:sz="4" w:space="0"/>
            </w:tcBorders>
            <w:shd w:val="clear" w:color="auto" w:fill="auto"/>
            <w:vAlign w:val="center"/>
          </w:tcPr>
          <w:p w14:paraId="14DC942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152152</w:t>
            </w:r>
          </w:p>
        </w:tc>
        <w:tc>
          <w:tcPr>
            <w:tcW w:w="3502" w:type="dxa"/>
            <w:gridSpan w:val="2"/>
            <w:tcBorders>
              <w:top w:val="nil"/>
              <w:left w:val="nil"/>
              <w:bottom w:val="single" w:color="auto" w:sz="4" w:space="0"/>
              <w:right w:val="single" w:color="auto" w:sz="4" w:space="0"/>
            </w:tcBorders>
            <w:shd w:val="clear" w:color="auto" w:fill="auto"/>
            <w:vAlign w:val="center"/>
          </w:tcPr>
          <w:p w14:paraId="7176F95A">
            <w:pPr>
              <w:widowControl/>
              <w:numPr>
                <w:ilvl w:val="0"/>
                <w:numId w:val="1"/>
              </w:numPr>
              <w:jc w:val="left"/>
              <w:rPr>
                <w:rFonts w:hint="eastAsia" w:ascii="宋体" w:hAnsi="宋体" w:eastAsia="宋体" w:cs="宋体"/>
                <w:kern w:val="0"/>
                <w:sz w:val="24"/>
                <w:szCs w:val="24"/>
              </w:rPr>
            </w:pPr>
            <w:r>
              <w:rPr>
                <w:rFonts w:hint="eastAsia" w:ascii="宋体" w:hAnsi="宋体" w:eastAsia="宋体" w:cs="宋体"/>
                <w:kern w:val="0"/>
                <w:sz w:val="24"/>
                <w:szCs w:val="24"/>
              </w:rPr>
              <w:t>地方政府专项债务还本支出</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含置换债</w:t>
            </w:r>
            <w:r>
              <w:rPr>
                <w:rFonts w:hint="eastAsia" w:ascii="宋体" w:hAnsi="宋体" w:eastAsia="宋体" w:cs="宋体"/>
                <w:kern w:val="0"/>
                <w:sz w:val="24"/>
                <w:szCs w:val="24"/>
                <w:lang w:eastAsia="zh-CN"/>
              </w:rPr>
              <w:t>）</w:t>
            </w:r>
          </w:p>
        </w:tc>
        <w:tc>
          <w:tcPr>
            <w:tcW w:w="1101" w:type="dxa"/>
            <w:gridSpan w:val="2"/>
            <w:tcBorders>
              <w:top w:val="nil"/>
              <w:left w:val="nil"/>
              <w:bottom w:val="single" w:color="auto" w:sz="4" w:space="0"/>
              <w:right w:val="single" w:color="auto" w:sz="4" w:space="0"/>
            </w:tcBorders>
            <w:shd w:val="clear" w:color="auto" w:fill="auto"/>
            <w:vAlign w:val="center"/>
          </w:tcPr>
          <w:p w14:paraId="618B089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56369</w:t>
            </w:r>
          </w:p>
        </w:tc>
      </w:tr>
      <w:tr w14:paraId="57568E3D">
        <w:tblPrEx>
          <w:tblCellMar>
            <w:top w:w="0" w:type="dxa"/>
            <w:left w:w="108" w:type="dxa"/>
            <w:bottom w:w="0" w:type="dxa"/>
            <w:right w:w="108" w:type="dxa"/>
          </w:tblCellMar>
        </w:tblPrEx>
        <w:trPr>
          <w:trHeight w:val="693" w:hRule="atLeast"/>
          <w:jc w:val="center"/>
        </w:trPr>
        <w:tc>
          <w:tcPr>
            <w:tcW w:w="3475" w:type="dxa"/>
            <w:tcBorders>
              <w:top w:val="nil"/>
              <w:left w:val="single" w:color="auto" w:sz="4" w:space="0"/>
              <w:bottom w:val="single" w:color="auto" w:sz="4" w:space="0"/>
              <w:right w:val="single" w:color="auto" w:sz="4" w:space="0"/>
            </w:tcBorders>
            <w:shd w:val="clear" w:color="auto" w:fill="auto"/>
            <w:vAlign w:val="center"/>
          </w:tcPr>
          <w:p w14:paraId="3ACFA35C">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80" w:type="dxa"/>
            <w:tcBorders>
              <w:top w:val="nil"/>
              <w:left w:val="nil"/>
              <w:bottom w:val="single" w:color="auto" w:sz="4" w:space="0"/>
              <w:right w:val="single" w:color="auto" w:sz="4" w:space="0"/>
            </w:tcBorders>
            <w:shd w:val="clear" w:color="auto" w:fill="auto"/>
            <w:vAlign w:val="center"/>
          </w:tcPr>
          <w:p w14:paraId="2FAC1EA8">
            <w:pPr>
              <w:widowControl/>
              <w:jc w:val="right"/>
              <w:rPr>
                <w:rFonts w:hint="eastAsia" w:ascii="宋体" w:hAnsi="宋体" w:eastAsia="宋体" w:cs="宋体"/>
                <w:kern w:val="0"/>
                <w:sz w:val="24"/>
                <w:szCs w:val="24"/>
              </w:rPr>
            </w:pPr>
          </w:p>
        </w:tc>
        <w:tc>
          <w:tcPr>
            <w:tcW w:w="3502" w:type="dxa"/>
            <w:gridSpan w:val="2"/>
            <w:tcBorders>
              <w:top w:val="nil"/>
              <w:left w:val="nil"/>
              <w:bottom w:val="single" w:color="auto" w:sz="4" w:space="0"/>
              <w:right w:val="single" w:color="auto" w:sz="4" w:space="0"/>
            </w:tcBorders>
            <w:shd w:val="clear" w:color="auto" w:fill="auto"/>
            <w:vAlign w:val="center"/>
          </w:tcPr>
          <w:p w14:paraId="0C3F74B7">
            <w:pPr>
              <w:widowControl/>
              <w:jc w:val="left"/>
              <w:rPr>
                <w:rFonts w:hint="eastAsia" w:ascii="宋体" w:hAnsi="宋体" w:eastAsia="宋体" w:cs="宋体"/>
                <w:kern w:val="0"/>
                <w:sz w:val="24"/>
                <w:szCs w:val="24"/>
              </w:rPr>
            </w:pPr>
          </w:p>
        </w:tc>
        <w:tc>
          <w:tcPr>
            <w:tcW w:w="1101" w:type="dxa"/>
            <w:gridSpan w:val="2"/>
            <w:tcBorders>
              <w:top w:val="nil"/>
              <w:left w:val="nil"/>
              <w:bottom w:val="single" w:color="auto" w:sz="4" w:space="0"/>
              <w:right w:val="single" w:color="auto" w:sz="4" w:space="0"/>
            </w:tcBorders>
            <w:shd w:val="clear" w:color="auto" w:fill="auto"/>
            <w:vAlign w:val="center"/>
          </w:tcPr>
          <w:p w14:paraId="27759301">
            <w:pPr>
              <w:widowControl/>
              <w:jc w:val="right"/>
              <w:rPr>
                <w:rFonts w:hint="eastAsia" w:ascii="宋体" w:hAnsi="宋体" w:eastAsia="宋体" w:cs="宋体"/>
                <w:kern w:val="0"/>
                <w:sz w:val="24"/>
                <w:szCs w:val="24"/>
              </w:rPr>
            </w:pPr>
          </w:p>
        </w:tc>
      </w:tr>
      <w:tr w14:paraId="2DBE4A25">
        <w:tblPrEx>
          <w:tblCellMar>
            <w:top w:w="0" w:type="dxa"/>
            <w:left w:w="108" w:type="dxa"/>
            <w:bottom w:w="0" w:type="dxa"/>
            <w:right w:w="108" w:type="dxa"/>
          </w:tblCellMar>
        </w:tblPrEx>
        <w:trPr>
          <w:trHeight w:val="693" w:hRule="atLeast"/>
          <w:jc w:val="center"/>
        </w:trPr>
        <w:tc>
          <w:tcPr>
            <w:tcW w:w="3475" w:type="dxa"/>
            <w:tcBorders>
              <w:top w:val="nil"/>
              <w:left w:val="single" w:color="auto" w:sz="4" w:space="0"/>
              <w:bottom w:val="single" w:color="auto" w:sz="4" w:space="0"/>
              <w:right w:val="single" w:color="auto" w:sz="4" w:space="0"/>
            </w:tcBorders>
            <w:shd w:val="clear" w:color="auto" w:fill="auto"/>
            <w:vAlign w:val="center"/>
          </w:tcPr>
          <w:p w14:paraId="1097596B">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80" w:type="dxa"/>
            <w:tcBorders>
              <w:top w:val="nil"/>
              <w:left w:val="nil"/>
              <w:bottom w:val="single" w:color="auto" w:sz="4" w:space="0"/>
              <w:right w:val="single" w:color="auto" w:sz="4" w:space="0"/>
            </w:tcBorders>
            <w:shd w:val="clear" w:color="auto" w:fill="auto"/>
            <w:vAlign w:val="center"/>
          </w:tcPr>
          <w:p w14:paraId="76ED9261">
            <w:pPr>
              <w:widowControl/>
              <w:jc w:val="right"/>
              <w:rPr>
                <w:rFonts w:hint="eastAsia" w:ascii="宋体" w:hAnsi="宋体" w:eastAsia="宋体" w:cs="宋体"/>
                <w:kern w:val="0"/>
                <w:sz w:val="24"/>
                <w:szCs w:val="24"/>
              </w:rPr>
            </w:pPr>
          </w:p>
        </w:tc>
        <w:tc>
          <w:tcPr>
            <w:tcW w:w="3502" w:type="dxa"/>
            <w:gridSpan w:val="2"/>
            <w:tcBorders>
              <w:top w:val="nil"/>
              <w:left w:val="nil"/>
              <w:bottom w:val="single" w:color="auto" w:sz="4" w:space="0"/>
              <w:right w:val="single" w:color="auto" w:sz="4" w:space="0"/>
            </w:tcBorders>
            <w:shd w:val="clear" w:color="auto" w:fill="auto"/>
            <w:vAlign w:val="center"/>
          </w:tcPr>
          <w:p w14:paraId="5C64BFD7">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01" w:type="dxa"/>
            <w:gridSpan w:val="2"/>
            <w:tcBorders>
              <w:top w:val="nil"/>
              <w:left w:val="nil"/>
              <w:bottom w:val="single" w:color="auto" w:sz="4" w:space="0"/>
              <w:right w:val="single" w:color="auto" w:sz="4" w:space="0"/>
            </w:tcBorders>
            <w:shd w:val="clear" w:color="auto" w:fill="auto"/>
            <w:vAlign w:val="center"/>
          </w:tcPr>
          <w:p w14:paraId="60235EF5">
            <w:pPr>
              <w:widowControl/>
              <w:jc w:val="right"/>
              <w:rPr>
                <w:rFonts w:hint="eastAsia" w:ascii="宋体" w:hAnsi="宋体" w:eastAsia="宋体" w:cs="宋体"/>
                <w:kern w:val="0"/>
                <w:sz w:val="24"/>
                <w:szCs w:val="24"/>
              </w:rPr>
            </w:pPr>
          </w:p>
        </w:tc>
      </w:tr>
      <w:tr w14:paraId="1952B899">
        <w:tblPrEx>
          <w:tblCellMar>
            <w:top w:w="0" w:type="dxa"/>
            <w:left w:w="108" w:type="dxa"/>
            <w:bottom w:w="0" w:type="dxa"/>
            <w:right w:w="108" w:type="dxa"/>
          </w:tblCellMar>
        </w:tblPrEx>
        <w:trPr>
          <w:trHeight w:val="704" w:hRule="atLeast"/>
          <w:jc w:val="center"/>
        </w:trPr>
        <w:tc>
          <w:tcPr>
            <w:tcW w:w="3475" w:type="dxa"/>
            <w:tcBorders>
              <w:top w:val="nil"/>
              <w:left w:val="single" w:color="auto" w:sz="4" w:space="0"/>
              <w:bottom w:val="single" w:color="auto" w:sz="4" w:space="0"/>
              <w:right w:val="single" w:color="auto" w:sz="4" w:space="0"/>
            </w:tcBorders>
            <w:shd w:val="clear" w:color="auto" w:fill="auto"/>
            <w:vAlign w:val="center"/>
          </w:tcPr>
          <w:p w14:paraId="3B8A217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收入总计</w:t>
            </w:r>
          </w:p>
        </w:tc>
        <w:tc>
          <w:tcPr>
            <w:tcW w:w="1180" w:type="dxa"/>
            <w:tcBorders>
              <w:top w:val="nil"/>
              <w:left w:val="nil"/>
              <w:bottom w:val="single" w:color="auto" w:sz="4" w:space="0"/>
              <w:right w:val="single" w:color="auto" w:sz="4" w:space="0"/>
            </w:tcBorders>
            <w:shd w:val="clear" w:color="auto" w:fill="auto"/>
            <w:vAlign w:val="center"/>
          </w:tcPr>
          <w:p w14:paraId="52B945AC">
            <w:pPr>
              <w:widowControl/>
              <w:jc w:val="center"/>
              <w:rPr>
                <w:rFonts w:hint="default" w:ascii="宋体" w:hAnsi="宋体" w:eastAsia="宋体" w:cs="宋体"/>
                <w:kern w:val="0"/>
                <w:sz w:val="24"/>
                <w:szCs w:val="24"/>
                <w:lang w:val="en-US" w:eastAsia="zh-CN"/>
              </w:rPr>
            </w:pPr>
            <w:bookmarkStart w:id="3" w:name="OLE_LINK4"/>
            <w:r>
              <w:rPr>
                <w:rFonts w:hint="eastAsia" w:ascii="宋体" w:hAnsi="宋体" w:eastAsia="宋体" w:cs="宋体"/>
                <w:kern w:val="0"/>
                <w:sz w:val="24"/>
                <w:szCs w:val="24"/>
                <w:lang w:val="en-US" w:eastAsia="zh-CN"/>
              </w:rPr>
              <w:t>392347</w:t>
            </w:r>
            <w:bookmarkEnd w:id="3"/>
          </w:p>
        </w:tc>
        <w:tc>
          <w:tcPr>
            <w:tcW w:w="3502" w:type="dxa"/>
            <w:gridSpan w:val="2"/>
            <w:tcBorders>
              <w:top w:val="nil"/>
              <w:left w:val="nil"/>
              <w:bottom w:val="single" w:color="auto" w:sz="4" w:space="0"/>
              <w:right w:val="single" w:color="auto" w:sz="4" w:space="0"/>
            </w:tcBorders>
            <w:shd w:val="clear" w:color="auto" w:fill="auto"/>
            <w:vAlign w:val="center"/>
          </w:tcPr>
          <w:p w14:paraId="6F93DBC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支出总计</w:t>
            </w:r>
          </w:p>
        </w:tc>
        <w:tc>
          <w:tcPr>
            <w:tcW w:w="1101" w:type="dxa"/>
            <w:gridSpan w:val="2"/>
            <w:tcBorders>
              <w:top w:val="nil"/>
              <w:left w:val="nil"/>
              <w:bottom w:val="single" w:color="auto" w:sz="4" w:space="0"/>
              <w:right w:val="single" w:color="auto" w:sz="4" w:space="0"/>
            </w:tcBorders>
            <w:shd w:val="clear" w:color="auto" w:fill="auto"/>
            <w:vAlign w:val="center"/>
          </w:tcPr>
          <w:p w14:paraId="77284BA8">
            <w:pPr>
              <w:widowControl/>
              <w:jc w:val="center"/>
              <w:rPr>
                <w:rFonts w:hint="default" w:ascii="宋体" w:hAnsi="宋体" w:eastAsia="宋体" w:cs="宋体"/>
                <w:kern w:val="0"/>
                <w:sz w:val="24"/>
                <w:szCs w:val="24"/>
                <w:lang w:val="en-US"/>
              </w:rPr>
            </w:pPr>
            <w:r>
              <w:rPr>
                <w:rFonts w:hint="eastAsia" w:ascii="宋体" w:hAnsi="宋体" w:eastAsia="宋体" w:cs="宋体"/>
                <w:kern w:val="0"/>
                <w:sz w:val="24"/>
                <w:szCs w:val="24"/>
                <w:lang w:val="en-US" w:eastAsia="zh-CN"/>
              </w:rPr>
              <w:t>392347</w:t>
            </w:r>
          </w:p>
        </w:tc>
      </w:tr>
    </w:tbl>
    <w:p w14:paraId="1368EBEB">
      <w:pPr>
        <w:spacing w:line="600" w:lineRule="exact"/>
        <w:ind w:left="498" w:leftChars="237"/>
        <w:rPr>
          <w:rFonts w:ascii="仿宋_GB2312" w:hAnsi="仿宋" w:eastAsia="仿宋_GB2312"/>
          <w:color w:val="000000"/>
          <w:sz w:val="32"/>
          <w:szCs w:val="32"/>
        </w:rPr>
      </w:pPr>
    </w:p>
    <w:p w14:paraId="57786193">
      <w:pPr>
        <w:widowControl/>
        <w:jc w:val="left"/>
        <w:rPr>
          <w:rFonts w:ascii="仿宋_GB2312" w:hAnsi="仿宋" w:eastAsia="仿宋_GB2312"/>
          <w:color w:val="000000"/>
          <w:sz w:val="32"/>
          <w:szCs w:val="32"/>
        </w:rPr>
      </w:pPr>
      <w:r>
        <w:rPr>
          <w:rFonts w:ascii="仿宋_GB2312" w:hAnsi="仿宋" w:eastAsia="仿宋_GB2312"/>
          <w:color w:val="000000"/>
          <w:sz w:val="32"/>
          <w:szCs w:val="32"/>
        </w:rPr>
        <w:br w:type="page"/>
      </w:r>
    </w:p>
    <w:p w14:paraId="37111C2B">
      <w:pPr>
        <w:pStyle w:val="48"/>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关于202</w:t>
      </w:r>
      <w:r>
        <w:rPr>
          <w:rFonts w:hint="eastAsia" w:hAnsi="方正小标宋简体" w:cs="方正小标宋简体"/>
          <w:color w:val="auto"/>
          <w:sz w:val="44"/>
          <w:szCs w:val="44"/>
          <w:lang w:val="en-US" w:eastAsia="zh-CN"/>
        </w:rPr>
        <w:t>5</w:t>
      </w:r>
      <w:r>
        <w:rPr>
          <w:rFonts w:hint="eastAsia" w:ascii="方正小标宋简体" w:hAnsi="方正小标宋简体" w:eastAsia="方正小标宋简体" w:cs="方正小标宋简体"/>
          <w:color w:val="auto"/>
          <w:sz w:val="44"/>
          <w:szCs w:val="44"/>
        </w:rPr>
        <w:t>年政府性基金收支执行情况的说明</w:t>
      </w:r>
    </w:p>
    <w:p w14:paraId="6F44BB9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p>
    <w:p w14:paraId="46A8778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年，全县政府性基金预算收入总计</w:t>
      </w:r>
      <w:r>
        <w:rPr>
          <w:rFonts w:hint="eastAsia" w:ascii="仿宋_GB2312" w:hAnsi="仿宋_GB2312" w:eastAsia="仿宋_GB2312" w:cs="仿宋_GB2312"/>
          <w:color w:val="auto"/>
          <w:sz w:val="32"/>
          <w:szCs w:val="32"/>
          <w:lang w:val="en-US" w:eastAsia="zh-CN"/>
        </w:rPr>
        <w:t>392347</w:t>
      </w:r>
      <w:r>
        <w:rPr>
          <w:rFonts w:hint="eastAsia" w:ascii="仿宋_GB2312" w:hAnsi="仿宋_GB2312" w:eastAsia="仿宋_GB2312" w:cs="仿宋_GB2312"/>
          <w:color w:val="auto"/>
          <w:sz w:val="32"/>
          <w:szCs w:val="32"/>
        </w:rPr>
        <w:t>万元，其中：政府性基金收入</w:t>
      </w:r>
      <w:r>
        <w:rPr>
          <w:rFonts w:hint="eastAsia" w:ascii="仿宋_GB2312" w:hAnsi="仿宋_GB2312" w:eastAsia="仿宋_GB2312" w:cs="仿宋_GB2312"/>
          <w:color w:val="auto"/>
          <w:sz w:val="32"/>
          <w:szCs w:val="32"/>
          <w:lang w:val="en-US" w:eastAsia="zh-CN"/>
        </w:rPr>
        <w:t>112080</w:t>
      </w:r>
      <w:r>
        <w:rPr>
          <w:rFonts w:hint="eastAsia" w:ascii="仿宋_GB2312" w:hAnsi="仿宋_GB2312" w:eastAsia="仿宋_GB2312" w:cs="仿宋_GB2312"/>
          <w:color w:val="auto"/>
          <w:sz w:val="32"/>
          <w:szCs w:val="32"/>
        </w:rPr>
        <w:t>万元，转移</w:t>
      </w:r>
      <w:r>
        <w:rPr>
          <w:rFonts w:hint="eastAsia" w:ascii="仿宋_GB2312" w:hAnsi="仿宋_GB2312" w:eastAsia="仿宋_GB2312" w:cs="仿宋_GB2312"/>
          <w:color w:val="auto"/>
          <w:sz w:val="32"/>
          <w:szCs w:val="32"/>
          <w:lang w:val="en-US" w:eastAsia="zh-CN"/>
        </w:rPr>
        <w:t>支付</w:t>
      </w:r>
      <w:r>
        <w:rPr>
          <w:rFonts w:hint="eastAsia" w:ascii="仿宋_GB2312" w:hAnsi="仿宋_GB2312" w:eastAsia="仿宋_GB2312" w:cs="仿宋_GB2312"/>
          <w:color w:val="auto"/>
          <w:sz w:val="32"/>
          <w:szCs w:val="32"/>
        </w:rPr>
        <w:t>收入</w:t>
      </w:r>
      <w:r>
        <w:rPr>
          <w:rFonts w:hint="eastAsia" w:ascii="仿宋_GB2312" w:hAnsi="仿宋_GB2312" w:eastAsia="仿宋_GB2312" w:cs="仿宋_GB2312"/>
          <w:color w:val="auto"/>
          <w:sz w:val="32"/>
          <w:szCs w:val="32"/>
          <w:lang w:val="en-US" w:eastAsia="zh-CN"/>
        </w:rPr>
        <w:t>21938</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上年结余收入104217</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调入资金1960万元，</w:t>
      </w:r>
      <w:r>
        <w:rPr>
          <w:rFonts w:hint="eastAsia" w:ascii="仿宋_GB2312" w:hAnsi="仿宋_GB2312" w:eastAsia="仿宋_GB2312" w:cs="仿宋_GB2312"/>
          <w:color w:val="auto"/>
          <w:sz w:val="32"/>
          <w:szCs w:val="32"/>
        </w:rPr>
        <w:t>地方政府专项债务转贷收入</w:t>
      </w:r>
      <w:r>
        <w:rPr>
          <w:rFonts w:hint="eastAsia" w:ascii="仿宋_GB2312" w:hAnsi="仿宋_GB2312" w:eastAsia="仿宋_GB2312" w:cs="仿宋_GB2312"/>
          <w:color w:val="auto"/>
          <w:sz w:val="32"/>
          <w:szCs w:val="32"/>
          <w:lang w:val="en-US" w:eastAsia="zh-CN"/>
        </w:rPr>
        <w:t>152152</w:t>
      </w:r>
      <w:r>
        <w:rPr>
          <w:rFonts w:hint="eastAsia" w:ascii="仿宋_GB2312" w:hAnsi="仿宋_GB2312" w:eastAsia="仿宋_GB2312" w:cs="仿宋_GB2312"/>
          <w:color w:val="auto"/>
          <w:sz w:val="32"/>
          <w:szCs w:val="32"/>
        </w:rPr>
        <w:t>万元。</w:t>
      </w:r>
    </w:p>
    <w:p w14:paraId="4DE43B8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全县政府性基金预算支出总计</w:t>
      </w:r>
      <w:r>
        <w:rPr>
          <w:rFonts w:hint="eastAsia" w:ascii="仿宋_GB2312" w:hAnsi="仿宋_GB2312" w:eastAsia="仿宋_GB2312" w:cs="仿宋_GB2312"/>
          <w:color w:val="auto"/>
          <w:sz w:val="32"/>
          <w:szCs w:val="32"/>
          <w:lang w:val="en-US" w:eastAsia="zh-CN"/>
        </w:rPr>
        <w:t>392347</w:t>
      </w:r>
      <w:r>
        <w:rPr>
          <w:rFonts w:hint="eastAsia" w:ascii="仿宋_GB2312" w:hAnsi="仿宋_GB2312" w:eastAsia="仿宋_GB2312" w:cs="仿宋_GB2312"/>
          <w:color w:val="auto"/>
          <w:sz w:val="32"/>
          <w:szCs w:val="32"/>
        </w:rPr>
        <w:t>万元，其中：政府性基金支出</w:t>
      </w:r>
      <w:r>
        <w:rPr>
          <w:rFonts w:hint="eastAsia" w:ascii="仿宋_GB2312" w:hAnsi="仿宋_GB2312" w:eastAsia="仿宋_GB2312" w:cs="仿宋_GB2312"/>
          <w:color w:val="auto"/>
          <w:sz w:val="32"/>
          <w:szCs w:val="32"/>
          <w:lang w:val="en-US" w:eastAsia="zh-CN"/>
        </w:rPr>
        <w:t>226840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上解支出4327万元，年终结余76866万元，调出资金27945万元，</w:t>
      </w:r>
      <w:r>
        <w:rPr>
          <w:rFonts w:hint="eastAsia" w:ascii="仿宋_GB2312" w:hAnsi="仿宋_GB2312" w:eastAsia="仿宋_GB2312" w:cs="仿宋_GB2312"/>
          <w:color w:val="auto"/>
          <w:sz w:val="32"/>
          <w:szCs w:val="32"/>
        </w:rPr>
        <w:t>地方政府专项债务还本支出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含置换债）56369</w:t>
      </w:r>
      <w:r>
        <w:rPr>
          <w:rFonts w:hint="eastAsia" w:ascii="仿宋_GB2312" w:hAnsi="仿宋_GB2312" w:eastAsia="仿宋_GB2312" w:cs="仿宋_GB2312"/>
          <w:color w:val="auto"/>
          <w:sz w:val="32"/>
          <w:szCs w:val="32"/>
        </w:rPr>
        <w:t>万元。</w:t>
      </w:r>
    </w:p>
    <w:p w14:paraId="4BE0BE0B">
      <w:pPr>
        <w:spacing w:line="600" w:lineRule="exact"/>
        <w:ind w:firstLine="640" w:firstLineChars="200"/>
        <w:rPr>
          <w:rFonts w:hint="eastAsia" w:ascii="仿宋_GB2312" w:hAnsi="仿宋" w:eastAsia="仿宋_GB2312"/>
          <w:color w:val="000000"/>
          <w:sz w:val="32"/>
          <w:szCs w:val="32"/>
        </w:rPr>
      </w:pPr>
    </w:p>
    <w:p w14:paraId="7F1DE535">
      <w:pPr>
        <w:spacing w:line="600" w:lineRule="exact"/>
        <w:ind w:firstLine="640" w:firstLineChars="200"/>
        <w:rPr>
          <w:rFonts w:hint="eastAsia" w:ascii="仿宋_GB2312" w:hAnsi="仿宋" w:eastAsia="仿宋_GB2312"/>
          <w:color w:val="000000"/>
          <w:sz w:val="32"/>
          <w:szCs w:val="32"/>
        </w:rPr>
      </w:pPr>
    </w:p>
    <w:p w14:paraId="324A59C4">
      <w:pPr>
        <w:spacing w:line="600" w:lineRule="exact"/>
        <w:ind w:firstLine="640" w:firstLineChars="200"/>
        <w:rPr>
          <w:rFonts w:hint="eastAsia" w:ascii="仿宋_GB2312" w:hAnsi="仿宋" w:eastAsia="仿宋_GB2312"/>
          <w:color w:val="000000"/>
          <w:sz w:val="32"/>
          <w:szCs w:val="32"/>
        </w:rPr>
      </w:pPr>
    </w:p>
    <w:p w14:paraId="4C1035A8">
      <w:pPr>
        <w:spacing w:line="600" w:lineRule="exact"/>
        <w:ind w:firstLine="640" w:firstLineChars="200"/>
        <w:rPr>
          <w:rFonts w:hint="eastAsia" w:ascii="仿宋_GB2312" w:hAnsi="仿宋" w:eastAsia="仿宋_GB2312"/>
          <w:color w:val="000000"/>
          <w:sz w:val="32"/>
          <w:szCs w:val="32"/>
        </w:rPr>
      </w:pPr>
    </w:p>
    <w:p w14:paraId="028CCB39">
      <w:pPr>
        <w:spacing w:line="600" w:lineRule="exact"/>
        <w:ind w:firstLine="640" w:firstLineChars="200"/>
        <w:rPr>
          <w:rFonts w:hint="eastAsia" w:ascii="仿宋_GB2312" w:hAnsi="仿宋" w:eastAsia="仿宋_GB2312"/>
          <w:color w:val="000000"/>
          <w:sz w:val="32"/>
          <w:szCs w:val="32"/>
        </w:rPr>
      </w:pPr>
    </w:p>
    <w:p w14:paraId="2A0C140B">
      <w:pPr>
        <w:spacing w:line="600" w:lineRule="exact"/>
        <w:ind w:firstLine="640" w:firstLineChars="200"/>
        <w:rPr>
          <w:rFonts w:hint="eastAsia" w:ascii="仿宋_GB2312" w:hAnsi="仿宋" w:eastAsia="仿宋_GB2312"/>
          <w:color w:val="000000"/>
          <w:sz w:val="32"/>
          <w:szCs w:val="32"/>
        </w:rPr>
      </w:pPr>
    </w:p>
    <w:p w14:paraId="4F3B4EE1">
      <w:pPr>
        <w:spacing w:line="600" w:lineRule="exact"/>
        <w:ind w:firstLine="640" w:firstLineChars="200"/>
        <w:rPr>
          <w:rFonts w:hint="eastAsia" w:ascii="仿宋_GB2312" w:hAnsi="仿宋" w:eastAsia="仿宋_GB2312"/>
          <w:color w:val="000000"/>
          <w:sz w:val="32"/>
          <w:szCs w:val="32"/>
        </w:rPr>
      </w:pPr>
    </w:p>
    <w:p w14:paraId="6E96514B">
      <w:pPr>
        <w:spacing w:line="600" w:lineRule="exact"/>
        <w:ind w:firstLine="640" w:firstLineChars="200"/>
        <w:rPr>
          <w:rFonts w:hint="eastAsia" w:ascii="仿宋_GB2312" w:hAnsi="仿宋" w:eastAsia="仿宋_GB2312"/>
          <w:color w:val="000000"/>
          <w:sz w:val="32"/>
          <w:szCs w:val="32"/>
        </w:rPr>
      </w:pPr>
    </w:p>
    <w:p w14:paraId="55D54C64">
      <w:pPr>
        <w:spacing w:line="600" w:lineRule="exact"/>
        <w:ind w:firstLine="640" w:firstLineChars="200"/>
        <w:rPr>
          <w:rFonts w:hint="eastAsia" w:ascii="仿宋_GB2312" w:hAnsi="仿宋" w:eastAsia="仿宋_GB2312"/>
          <w:color w:val="000000"/>
          <w:sz w:val="32"/>
          <w:szCs w:val="32"/>
        </w:rPr>
      </w:pPr>
    </w:p>
    <w:p w14:paraId="4999E534">
      <w:pPr>
        <w:spacing w:line="600" w:lineRule="exact"/>
        <w:ind w:firstLine="640" w:firstLineChars="200"/>
        <w:rPr>
          <w:rFonts w:hint="eastAsia" w:ascii="仿宋_GB2312" w:hAnsi="仿宋" w:eastAsia="仿宋_GB2312"/>
          <w:color w:val="000000"/>
          <w:sz w:val="32"/>
          <w:szCs w:val="32"/>
        </w:rPr>
      </w:pPr>
    </w:p>
    <w:p w14:paraId="6CBA4835">
      <w:pPr>
        <w:spacing w:line="600" w:lineRule="exact"/>
        <w:ind w:firstLine="640" w:firstLineChars="200"/>
        <w:rPr>
          <w:rFonts w:hint="eastAsia" w:ascii="仿宋_GB2312" w:hAnsi="仿宋" w:eastAsia="仿宋_GB2312"/>
          <w:color w:val="000000"/>
          <w:sz w:val="32"/>
          <w:szCs w:val="32"/>
        </w:rPr>
      </w:pPr>
    </w:p>
    <w:tbl>
      <w:tblPr>
        <w:tblStyle w:val="20"/>
        <w:tblW w:w="890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94"/>
        <w:gridCol w:w="1416"/>
        <w:gridCol w:w="556"/>
        <w:gridCol w:w="663"/>
        <w:gridCol w:w="207"/>
        <w:gridCol w:w="1873"/>
      </w:tblGrid>
      <w:tr w14:paraId="4B63E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4194" w:type="dxa"/>
            <w:tcBorders>
              <w:top w:val="nil"/>
              <w:left w:val="nil"/>
              <w:bottom w:val="nil"/>
              <w:right w:val="nil"/>
            </w:tcBorders>
            <w:shd w:val="clear" w:color="auto" w:fill="auto"/>
            <w:vAlign w:val="center"/>
          </w:tcPr>
          <w:p w14:paraId="6D28DBFF">
            <w:pPr>
              <w:keepNext w:val="0"/>
              <w:keepLines w:val="0"/>
              <w:widowControl/>
              <w:suppressLineNumbers w:val="0"/>
              <w:jc w:val="left"/>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表五</w:t>
            </w:r>
          </w:p>
        </w:tc>
        <w:tc>
          <w:tcPr>
            <w:tcW w:w="1972" w:type="dxa"/>
            <w:gridSpan w:val="2"/>
            <w:tcBorders>
              <w:top w:val="nil"/>
              <w:left w:val="nil"/>
              <w:bottom w:val="nil"/>
              <w:right w:val="nil"/>
            </w:tcBorders>
            <w:shd w:val="clear" w:color="auto" w:fill="auto"/>
            <w:vAlign w:val="center"/>
          </w:tcPr>
          <w:p w14:paraId="14678964">
            <w:pPr>
              <w:jc w:val="left"/>
              <w:rPr>
                <w:rFonts w:hint="eastAsia" w:ascii="宋体" w:hAnsi="宋体" w:eastAsia="宋体" w:cs="宋体"/>
                <w:i w:val="0"/>
                <w:iCs w:val="0"/>
                <w:color w:val="000000"/>
                <w:sz w:val="24"/>
                <w:szCs w:val="24"/>
                <w:u w:val="none"/>
              </w:rPr>
            </w:pPr>
          </w:p>
        </w:tc>
        <w:tc>
          <w:tcPr>
            <w:tcW w:w="663" w:type="dxa"/>
            <w:tcBorders>
              <w:top w:val="nil"/>
              <w:left w:val="nil"/>
              <w:bottom w:val="nil"/>
              <w:right w:val="nil"/>
            </w:tcBorders>
            <w:shd w:val="clear" w:color="auto" w:fill="auto"/>
            <w:vAlign w:val="center"/>
          </w:tcPr>
          <w:p w14:paraId="7D385457">
            <w:pPr>
              <w:jc w:val="left"/>
              <w:rPr>
                <w:rFonts w:hint="eastAsia" w:ascii="宋体" w:hAnsi="宋体" w:eastAsia="宋体" w:cs="宋体"/>
                <w:i w:val="0"/>
                <w:iCs w:val="0"/>
                <w:color w:val="000000"/>
                <w:sz w:val="24"/>
                <w:szCs w:val="24"/>
                <w:u w:val="none"/>
              </w:rPr>
            </w:pPr>
          </w:p>
        </w:tc>
        <w:tc>
          <w:tcPr>
            <w:tcW w:w="2080" w:type="dxa"/>
            <w:gridSpan w:val="2"/>
            <w:tcBorders>
              <w:top w:val="nil"/>
              <w:left w:val="nil"/>
              <w:bottom w:val="nil"/>
              <w:right w:val="nil"/>
            </w:tcBorders>
            <w:shd w:val="clear" w:color="auto" w:fill="auto"/>
            <w:vAlign w:val="center"/>
          </w:tcPr>
          <w:p w14:paraId="443287A2">
            <w:pPr>
              <w:jc w:val="left"/>
              <w:rPr>
                <w:rFonts w:hint="eastAsia" w:ascii="宋体" w:hAnsi="宋体" w:eastAsia="宋体" w:cs="宋体"/>
                <w:i w:val="0"/>
                <w:iCs w:val="0"/>
                <w:color w:val="000000"/>
                <w:sz w:val="24"/>
                <w:szCs w:val="24"/>
                <w:u w:val="none"/>
              </w:rPr>
            </w:pPr>
          </w:p>
        </w:tc>
      </w:tr>
      <w:tr w14:paraId="6C810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909" w:type="dxa"/>
            <w:gridSpan w:val="6"/>
            <w:tcBorders>
              <w:top w:val="nil"/>
              <w:left w:val="nil"/>
              <w:bottom w:val="nil"/>
              <w:right w:val="nil"/>
            </w:tcBorders>
            <w:shd w:val="clear" w:color="auto" w:fill="auto"/>
            <w:vAlign w:val="center"/>
          </w:tcPr>
          <w:p w14:paraId="69C41D48">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default" w:ascii="方正小标宋简体" w:hAnsi="方正小标宋简体" w:eastAsia="方正小标宋简体" w:cs="方正小标宋简体"/>
                <w:i w:val="0"/>
                <w:iCs w:val="0"/>
                <w:color w:val="000000"/>
                <w:kern w:val="0"/>
                <w:sz w:val="44"/>
                <w:szCs w:val="44"/>
                <w:u w:val="none"/>
                <w:lang w:val="en-US" w:eastAsia="zh-CN" w:bidi="ar"/>
              </w:rPr>
              <w:t>202</w:t>
            </w:r>
            <w:r>
              <w:rPr>
                <w:rFonts w:hint="eastAsia" w:ascii="方正小标宋简体" w:hAnsi="方正小标宋简体" w:eastAsia="方正小标宋简体" w:cs="方正小标宋简体"/>
                <w:i w:val="0"/>
                <w:iCs w:val="0"/>
                <w:color w:val="000000"/>
                <w:kern w:val="0"/>
                <w:sz w:val="44"/>
                <w:szCs w:val="44"/>
                <w:u w:val="none"/>
                <w:lang w:val="en-US" w:eastAsia="zh-CN" w:bidi="ar"/>
              </w:rPr>
              <w:t>5</w:t>
            </w:r>
            <w:r>
              <w:rPr>
                <w:rFonts w:hint="default" w:ascii="方正小标宋简体" w:hAnsi="方正小标宋简体" w:eastAsia="方正小标宋简体" w:cs="方正小标宋简体"/>
                <w:i w:val="0"/>
                <w:iCs w:val="0"/>
                <w:color w:val="000000"/>
                <w:kern w:val="0"/>
                <w:sz w:val="44"/>
                <w:szCs w:val="44"/>
                <w:u w:val="none"/>
                <w:lang w:val="en-US" w:eastAsia="zh-CN" w:bidi="ar"/>
              </w:rPr>
              <w:t>年政府性基金收入执行情况表</w:t>
            </w:r>
          </w:p>
        </w:tc>
      </w:tr>
      <w:tr w14:paraId="4167D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194" w:type="dxa"/>
            <w:tcBorders>
              <w:top w:val="nil"/>
              <w:left w:val="nil"/>
              <w:bottom w:val="single" w:color="auto" w:sz="4" w:space="0"/>
              <w:right w:val="nil"/>
            </w:tcBorders>
            <w:shd w:val="clear" w:color="auto" w:fill="auto"/>
            <w:vAlign w:val="center"/>
          </w:tcPr>
          <w:p w14:paraId="192E8D41">
            <w:pPr>
              <w:jc w:val="center"/>
              <w:rPr>
                <w:rFonts w:hint="eastAsia" w:ascii="宋体" w:hAnsi="宋体" w:eastAsia="宋体" w:cs="宋体"/>
                <w:i w:val="0"/>
                <w:iCs w:val="0"/>
                <w:color w:val="000000"/>
                <w:sz w:val="24"/>
                <w:szCs w:val="24"/>
                <w:u w:val="none"/>
              </w:rPr>
            </w:pPr>
          </w:p>
        </w:tc>
        <w:tc>
          <w:tcPr>
            <w:tcW w:w="1972" w:type="dxa"/>
            <w:gridSpan w:val="2"/>
            <w:tcBorders>
              <w:top w:val="nil"/>
              <w:left w:val="nil"/>
              <w:bottom w:val="single" w:color="auto" w:sz="4" w:space="0"/>
              <w:right w:val="nil"/>
            </w:tcBorders>
            <w:shd w:val="clear" w:color="auto" w:fill="auto"/>
            <w:vAlign w:val="center"/>
          </w:tcPr>
          <w:p w14:paraId="7C966E55">
            <w:pPr>
              <w:jc w:val="center"/>
              <w:rPr>
                <w:rFonts w:hint="eastAsia" w:ascii="宋体" w:hAnsi="宋体" w:eastAsia="宋体" w:cs="宋体"/>
                <w:i w:val="0"/>
                <w:iCs w:val="0"/>
                <w:color w:val="000000"/>
                <w:sz w:val="24"/>
                <w:szCs w:val="24"/>
                <w:u w:val="none"/>
              </w:rPr>
            </w:pPr>
          </w:p>
        </w:tc>
        <w:tc>
          <w:tcPr>
            <w:tcW w:w="663" w:type="dxa"/>
            <w:tcBorders>
              <w:top w:val="nil"/>
              <w:left w:val="nil"/>
              <w:bottom w:val="single" w:color="auto" w:sz="4" w:space="0"/>
              <w:right w:val="nil"/>
            </w:tcBorders>
            <w:shd w:val="clear" w:color="auto" w:fill="auto"/>
            <w:vAlign w:val="center"/>
          </w:tcPr>
          <w:p w14:paraId="76889509">
            <w:pPr>
              <w:jc w:val="center"/>
              <w:rPr>
                <w:rFonts w:hint="eastAsia" w:ascii="宋体" w:hAnsi="宋体" w:eastAsia="宋体" w:cs="宋体"/>
                <w:i w:val="0"/>
                <w:iCs w:val="0"/>
                <w:color w:val="000000"/>
                <w:sz w:val="24"/>
                <w:szCs w:val="24"/>
                <w:u w:val="none"/>
              </w:rPr>
            </w:pPr>
          </w:p>
        </w:tc>
        <w:tc>
          <w:tcPr>
            <w:tcW w:w="2080" w:type="dxa"/>
            <w:gridSpan w:val="2"/>
            <w:tcBorders>
              <w:top w:val="nil"/>
              <w:left w:val="nil"/>
              <w:bottom w:val="single" w:color="auto" w:sz="4" w:space="0"/>
              <w:right w:val="nil"/>
            </w:tcBorders>
            <w:shd w:val="clear" w:color="auto" w:fill="auto"/>
            <w:vAlign w:val="center"/>
          </w:tcPr>
          <w:p w14:paraId="0A9F17D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1360B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3" w:hRule="atLeast"/>
        </w:trPr>
        <w:tc>
          <w:tcPr>
            <w:tcW w:w="4194" w:type="dxa"/>
            <w:tcBorders>
              <w:top w:val="single" w:color="auto" w:sz="4" w:space="0"/>
              <w:left w:val="single" w:color="auto" w:sz="4" w:space="0"/>
              <w:bottom w:val="single" w:color="auto" w:sz="4" w:space="0"/>
              <w:right w:val="single" w:color="auto" w:sz="4" w:space="0"/>
            </w:tcBorders>
            <w:shd w:val="clear" w:color="auto" w:fill="auto"/>
            <w:vAlign w:val="center"/>
          </w:tcPr>
          <w:p w14:paraId="776E03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11CAA8A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预算数</w:t>
            </w:r>
          </w:p>
        </w:tc>
        <w:tc>
          <w:tcPr>
            <w:tcW w:w="142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A3B57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执行数</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7E2CE2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为预算数%</w:t>
            </w:r>
          </w:p>
        </w:tc>
      </w:tr>
      <w:tr w14:paraId="2ABC7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3" w:hRule="atLeast"/>
        </w:trPr>
        <w:tc>
          <w:tcPr>
            <w:tcW w:w="4194" w:type="dxa"/>
            <w:tcBorders>
              <w:top w:val="single" w:color="auto" w:sz="4" w:space="0"/>
              <w:left w:val="single" w:color="auto" w:sz="4" w:space="0"/>
              <w:bottom w:val="single" w:color="auto" w:sz="4" w:space="0"/>
              <w:right w:val="single" w:color="auto" w:sz="4" w:space="0"/>
            </w:tcBorders>
            <w:shd w:val="clear" w:color="auto" w:fill="auto"/>
            <w:vAlign w:val="center"/>
          </w:tcPr>
          <w:p w14:paraId="3C8A00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bookmarkStart w:id="4" w:name="OLE_LINK2" w:colFirst="1" w:colLast="2"/>
            <w:r>
              <w:rPr>
                <w:rFonts w:hint="eastAsia" w:ascii="宋体" w:hAnsi="宋体" w:eastAsia="宋体" w:cs="宋体"/>
                <w:i w:val="0"/>
                <w:color w:val="000000"/>
                <w:kern w:val="0"/>
                <w:sz w:val="24"/>
                <w:szCs w:val="24"/>
                <w:u w:val="none"/>
                <w:lang w:val="en-US" w:eastAsia="zh-CN" w:bidi="ar"/>
              </w:rPr>
              <w:t>国有土地收益基金收入</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48F0C3E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1300</w:t>
            </w:r>
          </w:p>
        </w:tc>
        <w:tc>
          <w:tcPr>
            <w:tcW w:w="142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0811F2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328</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57DC44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25.2%</w:t>
            </w:r>
          </w:p>
        </w:tc>
      </w:tr>
      <w:tr w14:paraId="56D6E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3" w:hRule="atLeast"/>
        </w:trPr>
        <w:tc>
          <w:tcPr>
            <w:tcW w:w="4194" w:type="dxa"/>
            <w:tcBorders>
              <w:top w:val="single" w:color="auto" w:sz="4" w:space="0"/>
              <w:left w:val="single" w:color="auto" w:sz="4" w:space="0"/>
              <w:bottom w:val="single" w:color="auto" w:sz="4" w:space="0"/>
              <w:right w:val="single" w:color="auto" w:sz="4" w:space="0"/>
            </w:tcBorders>
            <w:shd w:val="clear" w:color="auto" w:fill="auto"/>
            <w:vAlign w:val="center"/>
          </w:tcPr>
          <w:p w14:paraId="14FBAA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农业土地开发资金收入</w:t>
            </w:r>
          </w:p>
        </w:tc>
        <w:tc>
          <w:tcPr>
            <w:tcW w:w="1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31121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700</w:t>
            </w:r>
          </w:p>
        </w:tc>
        <w:tc>
          <w:tcPr>
            <w:tcW w:w="142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426858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182</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6211EA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r>
      <w:tr w14:paraId="012CD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3" w:hRule="atLeast"/>
        </w:trPr>
        <w:tc>
          <w:tcPr>
            <w:tcW w:w="4194" w:type="dxa"/>
            <w:tcBorders>
              <w:top w:val="single" w:color="auto" w:sz="4" w:space="0"/>
              <w:left w:val="single" w:color="auto" w:sz="4" w:space="0"/>
              <w:bottom w:val="single" w:color="auto" w:sz="4" w:space="0"/>
              <w:right w:val="single" w:color="auto" w:sz="4" w:space="0"/>
            </w:tcBorders>
            <w:shd w:val="clear" w:color="auto" w:fill="auto"/>
            <w:vAlign w:val="center"/>
          </w:tcPr>
          <w:p w14:paraId="354A73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国有土地使用权出让收入</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508F227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100950</w:t>
            </w:r>
          </w:p>
        </w:tc>
        <w:tc>
          <w:tcPr>
            <w:tcW w:w="142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821C8D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109194</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62A53B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108.2%</w:t>
            </w:r>
          </w:p>
        </w:tc>
      </w:tr>
      <w:tr w14:paraId="275E6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3" w:hRule="atLeast"/>
        </w:trPr>
        <w:tc>
          <w:tcPr>
            <w:tcW w:w="4194" w:type="dxa"/>
            <w:tcBorders>
              <w:top w:val="single" w:color="auto" w:sz="4" w:space="0"/>
              <w:left w:val="single" w:color="auto" w:sz="4" w:space="0"/>
              <w:bottom w:val="single" w:color="auto" w:sz="4" w:space="0"/>
              <w:right w:val="single" w:color="auto" w:sz="4" w:space="0"/>
            </w:tcBorders>
            <w:shd w:val="clear" w:color="auto" w:fill="auto"/>
            <w:vAlign w:val="center"/>
          </w:tcPr>
          <w:p w14:paraId="13301D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城市基础设施配套费收入</w:t>
            </w:r>
          </w:p>
        </w:tc>
        <w:tc>
          <w:tcPr>
            <w:tcW w:w="1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1A157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5000</w:t>
            </w:r>
          </w:p>
        </w:tc>
        <w:tc>
          <w:tcPr>
            <w:tcW w:w="142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B7F97E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1466</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4A7401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29.3%</w:t>
            </w:r>
          </w:p>
        </w:tc>
      </w:tr>
      <w:tr w14:paraId="7CF5E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3" w:hRule="atLeast"/>
        </w:trPr>
        <w:tc>
          <w:tcPr>
            <w:tcW w:w="4194" w:type="dxa"/>
            <w:tcBorders>
              <w:top w:val="single" w:color="auto" w:sz="4" w:space="0"/>
              <w:left w:val="single" w:color="auto" w:sz="4" w:space="0"/>
              <w:bottom w:val="single" w:color="auto" w:sz="4" w:space="0"/>
              <w:right w:val="single" w:color="auto" w:sz="4" w:space="0"/>
            </w:tcBorders>
            <w:shd w:val="clear" w:color="auto" w:fill="auto"/>
            <w:vAlign w:val="center"/>
          </w:tcPr>
          <w:p w14:paraId="36EA6A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污水处理费收入</w:t>
            </w:r>
          </w:p>
        </w:tc>
        <w:tc>
          <w:tcPr>
            <w:tcW w:w="1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16C97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1050</w:t>
            </w:r>
          </w:p>
        </w:tc>
        <w:tc>
          <w:tcPr>
            <w:tcW w:w="142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AD0294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910</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353B76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86.7%</w:t>
            </w:r>
          </w:p>
        </w:tc>
      </w:tr>
      <w:bookmarkEnd w:id="4"/>
      <w:tr w14:paraId="26B49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3" w:hRule="atLeast"/>
        </w:trPr>
        <w:tc>
          <w:tcPr>
            <w:tcW w:w="4194" w:type="dxa"/>
            <w:tcBorders>
              <w:top w:val="single" w:color="auto" w:sz="4" w:space="0"/>
              <w:left w:val="single" w:color="auto" w:sz="4" w:space="0"/>
              <w:bottom w:val="single" w:color="auto" w:sz="4" w:space="0"/>
              <w:right w:val="single" w:color="auto" w:sz="4" w:space="0"/>
            </w:tcBorders>
            <w:shd w:val="clear" w:color="auto" w:fill="auto"/>
            <w:vAlign w:val="center"/>
          </w:tcPr>
          <w:p w14:paraId="21CD1C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合   计</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718869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109000</w:t>
            </w:r>
          </w:p>
        </w:tc>
        <w:tc>
          <w:tcPr>
            <w:tcW w:w="142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712AB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112080</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553454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102.8%</w:t>
            </w:r>
          </w:p>
        </w:tc>
      </w:tr>
    </w:tbl>
    <w:p w14:paraId="4C83CDD5">
      <w:pPr>
        <w:spacing w:line="600" w:lineRule="exact"/>
        <w:rPr>
          <w:rFonts w:ascii="仿宋" w:hAnsi="仿宋" w:eastAsia="仿宋"/>
          <w:color w:val="000000"/>
          <w:sz w:val="32"/>
          <w:szCs w:val="32"/>
        </w:rPr>
      </w:pPr>
    </w:p>
    <w:p w14:paraId="2C72F2D8">
      <w:pPr>
        <w:widowControl/>
        <w:jc w:val="left"/>
        <w:rPr>
          <w:rFonts w:ascii="仿宋" w:hAnsi="仿宋" w:eastAsia="仿宋"/>
          <w:color w:val="000000"/>
          <w:sz w:val="32"/>
          <w:szCs w:val="32"/>
        </w:rPr>
      </w:pPr>
      <w:r>
        <w:rPr>
          <w:rFonts w:ascii="仿宋" w:hAnsi="仿宋" w:eastAsia="仿宋"/>
          <w:color w:val="000000"/>
          <w:sz w:val="32"/>
          <w:szCs w:val="32"/>
        </w:rPr>
        <w:br w:type="page"/>
      </w:r>
    </w:p>
    <w:p w14:paraId="7B38EE2F">
      <w:pPr>
        <w:pStyle w:val="48"/>
        <w:keepNext w:val="0"/>
        <w:keepLines w:val="0"/>
        <w:pageBreakBefore w:val="0"/>
        <w:widowControl w:val="0"/>
        <w:kinsoku/>
        <w:wordWrap/>
        <w:overflowPunct/>
        <w:topLinePunct w:val="0"/>
        <w:autoSpaceDE/>
        <w:autoSpaceDN/>
        <w:bidi w:val="0"/>
        <w:adjustRightInd/>
        <w:snapToGrid/>
        <w:spacing w:before="0" w:after="0" w:line="572" w:lineRule="exact"/>
        <w:jc w:val="center"/>
        <w:textAlignment w:val="auto"/>
        <w:outlineLvl w:val="9"/>
        <w:rPr>
          <w:sz w:val="44"/>
          <w:szCs w:val="44"/>
        </w:rPr>
      </w:pPr>
      <w:r>
        <w:rPr>
          <w:rFonts w:hint="eastAsia"/>
          <w:sz w:val="44"/>
          <w:szCs w:val="44"/>
        </w:rPr>
        <w:t>关于202</w:t>
      </w:r>
      <w:r>
        <w:rPr>
          <w:rFonts w:hint="eastAsia"/>
          <w:sz w:val="44"/>
          <w:szCs w:val="44"/>
          <w:lang w:val="en-US" w:eastAsia="zh-CN"/>
        </w:rPr>
        <w:t>5</w:t>
      </w:r>
      <w:r>
        <w:rPr>
          <w:rFonts w:hint="eastAsia"/>
          <w:sz w:val="44"/>
          <w:szCs w:val="44"/>
        </w:rPr>
        <w:t>年政府性基金收入执行情况的说明</w:t>
      </w:r>
    </w:p>
    <w:p w14:paraId="19C783C0">
      <w:pPr>
        <w:keepNext w:val="0"/>
        <w:keepLines w:val="0"/>
        <w:pageBreakBefore w:val="0"/>
        <w:widowControl w:val="0"/>
        <w:kinsoku/>
        <w:wordWrap/>
        <w:overflowPunct/>
        <w:topLinePunct w:val="0"/>
        <w:autoSpaceDE/>
        <w:autoSpaceDN/>
        <w:bidi w:val="0"/>
        <w:adjustRightInd/>
        <w:snapToGrid/>
        <w:spacing w:line="572" w:lineRule="exact"/>
        <w:ind w:firstLine="643" w:firstLineChars="200"/>
        <w:jc w:val="both"/>
        <w:textAlignment w:val="auto"/>
        <w:outlineLvl w:val="9"/>
        <w:rPr>
          <w:rFonts w:ascii="仿宋_GB2312" w:hAnsi="宋体" w:eastAsia="仿宋_GB2312"/>
          <w:b/>
          <w:color w:val="000000"/>
          <w:sz w:val="32"/>
          <w:szCs w:val="32"/>
        </w:rPr>
      </w:pPr>
    </w:p>
    <w:p w14:paraId="23F0DA2F">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ascii="仿宋_GB2312" w:hAnsi="仿宋" w:eastAsia="仿宋_GB2312"/>
          <w:color w:val="000000"/>
          <w:sz w:val="32"/>
          <w:szCs w:val="32"/>
        </w:rPr>
      </w:pPr>
      <w:r>
        <w:rPr>
          <w:rFonts w:hint="eastAsia" w:ascii="仿宋_GB2312" w:hAnsi="仿宋" w:eastAsia="仿宋_GB2312"/>
          <w:color w:val="000000"/>
          <w:sz w:val="32"/>
          <w:szCs w:val="32"/>
        </w:rPr>
        <w:t>202</w:t>
      </w: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rPr>
        <w:t>年全县政府性基金收入预算合计</w:t>
      </w:r>
      <w:r>
        <w:rPr>
          <w:rFonts w:hint="eastAsia" w:ascii="仿宋_GB2312" w:hAnsi="仿宋" w:eastAsia="仿宋_GB2312"/>
          <w:color w:val="000000"/>
          <w:sz w:val="32"/>
          <w:szCs w:val="32"/>
          <w:lang w:val="en-US" w:eastAsia="zh-CN"/>
        </w:rPr>
        <w:t>109000</w:t>
      </w:r>
      <w:r>
        <w:rPr>
          <w:rFonts w:hint="eastAsia" w:ascii="仿宋_GB2312" w:hAnsi="仿宋" w:eastAsia="仿宋_GB2312"/>
          <w:color w:val="000000"/>
          <w:sz w:val="32"/>
          <w:szCs w:val="32"/>
        </w:rPr>
        <w:t>万元，实际完成</w:t>
      </w:r>
      <w:r>
        <w:rPr>
          <w:rFonts w:hint="eastAsia" w:ascii="仿宋_GB2312" w:hAnsi="仿宋" w:eastAsia="仿宋_GB2312"/>
          <w:color w:val="000000"/>
          <w:sz w:val="32"/>
          <w:szCs w:val="32"/>
          <w:lang w:val="en-US" w:eastAsia="zh-CN"/>
        </w:rPr>
        <w:t>112080</w:t>
      </w:r>
      <w:r>
        <w:rPr>
          <w:rFonts w:hint="eastAsia" w:ascii="仿宋_GB2312" w:hAnsi="仿宋" w:eastAsia="仿宋_GB2312"/>
          <w:color w:val="000000"/>
          <w:sz w:val="32"/>
          <w:szCs w:val="32"/>
        </w:rPr>
        <w:t>万元，为</w:t>
      </w:r>
      <w:r>
        <w:rPr>
          <w:rFonts w:hint="eastAsia" w:ascii="仿宋_GB2312" w:hAnsi="仿宋" w:eastAsia="仿宋_GB2312"/>
          <w:color w:val="000000"/>
          <w:sz w:val="32"/>
          <w:szCs w:val="32"/>
          <w:lang w:eastAsia="zh-CN"/>
        </w:rPr>
        <w:t>预算</w:t>
      </w:r>
      <w:r>
        <w:rPr>
          <w:rFonts w:hint="eastAsia" w:ascii="仿宋_GB2312" w:hAnsi="仿宋" w:eastAsia="仿宋_GB2312"/>
          <w:color w:val="000000"/>
          <w:sz w:val="32"/>
          <w:szCs w:val="32"/>
        </w:rPr>
        <w:t>的</w:t>
      </w:r>
      <w:r>
        <w:rPr>
          <w:rFonts w:hint="eastAsia" w:ascii="仿宋_GB2312" w:hAnsi="仿宋" w:eastAsia="仿宋_GB2312"/>
          <w:color w:val="000000"/>
          <w:sz w:val="32"/>
          <w:szCs w:val="32"/>
          <w:lang w:val="en-US" w:eastAsia="zh-CN"/>
        </w:rPr>
        <w:t>102.8</w:t>
      </w:r>
      <w:r>
        <w:rPr>
          <w:rFonts w:hint="eastAsia" w:ascii="仿宋_GB2312" w:hAnsi="仿宋" w:eastAsia="仿宋_GB2312"/>
          <w:color w:val="000000"/>
          <w:sz w:val="32"/>
          <w:szCs w:val="32"/>
        </w:rPr>
        <w:t>%。</w:t>
      </w:r>
    </w:p>
    <w:p w14:paraId="0CEFF2B5">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黑体" w:hAnsi="黑体" w:eastAsia="黑体" w:cs="黑体"/>
          <w:color w:val="000000"/>
          <w:sz w:val="32"/>
          <w:szCs w:val="32"/>
        </w:rPr>
      </w:pPr>
      <w:r>
        <w:rPr>
          <w:rFonts w:hint="eastAsia" w:ascii="黑体" w:hAnsi="黑体" w:eastAsia="黑体" w:cs="黑体"/>
          <w:color w:val="000000" w:themeColor="text1"/>
          <w:sz w:val="32"/>
          <w:szCs w:val="32"/>
        </w:rPr>
        <w:t>主要执行项目是：</w:t>
      </w:r>
    </w:p>
    <w:p w14:paraId="5865339B">
      <w:pPr>
        <w:keepNext w:val="0"/>
        <w:keepLines w:val="0"/>
        <w:pageBreakBefore w:val="0"/>
        <w:widowControl w:val="0"/>
        <w:numPr>
          <w:ilvl w:val="0"/>
          <w:numId w:val="2"/>
        </w:numPr>
        <w:tabs>
          <w:tab w:val="left" w:pos="993"/>
        </w:tabs>
        <w:kinsoku/>
        <w:wordWrap/>
        <w:overflowPunct/>
        <w:topLinePunct w:val="0"/>
        <w:autoSpaceDE/>
        <w:autoSpaceDN/>
        <w:bidi w:val="0"/>
        <w:adjustRightInd/>
        <w:snapToGrid/>
        <w:spacing w:line="572" w:lineRule="exact"/>
        <w:ind w:firstLine="640" w:firstLineChars="200"/>
        <w:jc w:val="both"/>
        <w:textAlignment w:val="auto"/>
        <w:outlineLvl w:val="9"/>
        <w:rPr>
          <w:rFonts w:ascii="仿宋_GB2312" w:hAnsi="仿宋" w:eastAsia="仿宋_GB2312"/>
          <w:color w:val="000000"/>
          <w:sz w:val="32"/>
          <w:szCs w:val="32"/>
        </w:rPr>
      </w:pPr>
      <w:r>
        <w:rPr>
          <w:rFonts w:hint="eastAsia" w:ascii="仿宋_GB2312" w:hAnsi="仿宋" w:eastAsia="仿宋_GB2312"/>
          <w:color w:val="000000"/>
          <w:sz w:val="32"/>
          <w:szCs w:val="32"/>
        </w:rPr>
        <w:t>国有土地收益基金收入</w:t>
      </w:r>
      <w:r>
        <w:rPr>
          <w:rFonts w:hint="eastAsia" w:ascii="仿宋_GB2312" w:hAnsi="仿宋" w:eastAsia="仿宋_GB2312"/>
          <w:color w:val="000000"/>
          <w:sz w:val="32"/>
          <w:szCs w:val="32"/>
          <w:lang w:val="en-US" w:eastAsia="zh-CN"/>
        </w:rPr>
        <w:t>328</w:t>
      </w:r>
      <w:r>
        <w:rPr>
          <w:rFonts w:hint="eastAsia" w:ascii="仿宋_GB2312" w:hAnsi="仿宋" w:eastAsia="仿宋_GB2312"/>
          <w:color w:val="000000"/>
          <w:sz w:val="32"/>
          <w:szCs w:val="32"/>
        </w:rPr>
        <w:t>万元，为</w:t>
      </w:r>
      <w:r>
        <w:rPr>
          <w:rFonts w:hint="eastAsia" w:ascii="仿宋_GB2312" w:hAnsi="仿宋" w:eastAsia="仿宋_GB2312"/>
          <w:color w:val="000000"/>
          <w:sz w:val="32"/>
          <w:szCs w:val="32"/>
          <w:lang w:eastAsia="zh-CN"/>
        </w:rPr>
        <w:t>预算</w:t>
      </w:r>
      <w:r>
        <w:rPr>
          <w:rFonts w:hint="eastAsia" w:ascii="仿宋_GB2312" w:hAnsi="仿宋" w:eastAsia="仿宋_GB2312"/>
          <w:color w:val="000000"/>
          <w:sz w:val="32"/>
          <w:szCs w:val="32"/>
        </w:rPr>
        <w:t>的</w:t>
      </w:r>
      <w:r>
        <w:rPr>
          <w:rFonts w:hint="eastAsia" w:ascii="仿宋_GB2312" w:hAnsi="仿宋" w:eastAsia="仿宋_GB2312"/>
          <w:color w:val="000000"/>
          <w:sz w:val="32"/>
          <w:szCs w:val="32"/>
          <w:lang w:val="en-US" w:eastAsia="zh-CN"/>
        </w:rPr>
        <w:t>25.2%；</w:t>
      </w:r>
    </w:p>
    <w:p w14:paraId="50D75874">
      <w:pPr>
        <w:keepNext w:val="0"/>
        <w:keepLines w:val="0"/>
        <w:pageBreakBefore w:val="0"/>
        <w:widowControl w:val="0"/>
        <w:tabs>
          <w:tab w:val="left" w:pos="993"/>
        </w:tabs>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2.</w:t>
      </w:r>
      <w:r>
        <w:rPr>
          <w:rFonts w:hint="eastAsia" w:ascii="仿宋_GB2312" w:eastAsia="仿宋_GB2312"/>
        </w:rPr>
        <w:t xml:space="preserve"> </w:t>
      </w:r>
      <w:r>
        <w:rPr>
          <w:rFonts w:hint="eastAsia" w:ascii="仿宋_GB2312" w:hAnsi="仿宋" w:eastAsia="仿宋_GB2312"/>
          <w:color w:val="000000"/>
          <w:sz w:val="32"/>
          <w:szCs w:val="32"/>
        </w:rPr>
        <w:t>农业土地开发资金收入</w:t>
      </w:r>
      <w:r>
        <w:rPr>
          <w:rFonts w:hint="eastAsia" w:ascii="仿宋_GB2312" w:hAnsi="仿宋" w:eastAsia="仿宋_GB2312"/>
          <w:color w:val="000000"/>
          <w:sz w:val="32"/>
          <w:szCs w:val="32"/>
          <w:lang w:val="en-US" w:eastAsia="zh-CN"/>
        </w:rPr>
        <w:t>182</w:t>
      </w:r>
      <w:r>
        <w:rPr>
          <w:rFonts w:hint="eastAsia" w:ascii="仿宋_GB2312" w:hAnsi="仿宋" w:eastAsia="仿宋_GB2312"/>
          <w:color w:val="000000"/>
          <w:sz w:val="32"/>
          <w:szCs w:val="32"/>
        </w:rPr>
        <w:t>万元，为</w:t>
      </w:r>
      <w:r>
        <w:rPr>
          <w:rFonts w:hint="eastAsia" w:ascii="仿宋_GB2312" w:hAnsi="仿宋" w:eastAsia="仿宋_GB2312"/>
          <w:color w:val="000000"/>
          <w:sz w:val="32"/>
          <w:szCs w:val="32"/>
          <w:lang w:eastAsia="zh-CN"/>
        </w:rPr>
        <w:t>预算</w:t>
      </w:r>
      <w:r>
        <w:rPr>
          <w:rFonts w:hint="eastAsia" w:ascii="仿宋_GB2312" w:hAnsi="仿宋" w:eastAsia="仿宋_GB2312"/>
          <w:color w:val="000000"/>
          <w:sz w:val="32"/>
          <w:szCs w:val="32"/>
        </w:rPr>
        <w:t>的</w:t>
      </w:r>
      <w:r>
        <w:rPr>
          <w:rFonts w:hint="eastAsia" w:ascii="仿宋_GB2312" w:hAnsi="仿宋" w:eastAsia="仿宋_GB2312"/>
          <w:color w:val="000000"/>
          <w:sz w:val="32"/>
          <w:szCs w:val="32"/>
          <w:lang w:val="en-US" w:eastAsia="zh-CN"/>
        </w:rPr>
        <w:t>26</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w:t>
      </w:r>
    </w:p>
    <w:p w14:paraId="6E30124E">
      <w:pPr>
        <w:keepNext w:val="0"/>
        <w:keepLines w:val="0"/>
        <w:pageBreakBefore w:val="0"/>
        <w:widowControl w:val="0"/>
        <w:tabs>
          <w:tab w:val="left" w:pos="993"/>
        </w:tabs>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3.</w:t>
      </w:r>
      <w:r>
        <w:rPr>
          <w:rFonts w:hint="eastAsia" w:ascii="仿宋_GB2312" w:eastAsia="仿宋_GB2312"/>
        </w:rPr>
        <w:t xml:space="preserve"> </w:t>
      </w:r>
      <w:r>
        <w:rPr>
          <w:rFonts w:hint="eastAsia" w:ascii="仿宋_GB2312" w:hAnsi="仿宋" w:eastAsia="仿宋_GB2312"/>
          <w:color w:val="000000"/>
          <w:sz w:val="32"/>
          <w:szCs w:val="32"/>
        </w:rPr>
        <w:t>国有土地使用权出让收入</w:t>
      </w:r>
      <w:r>
        <w:rPr>
          <w:rFonts w:hint="eastAsia" w:ascii="仿宋_GB2312" w:hAnsi="仿宋" w:eastAsia="仿宋_GB2312"/>
          <w:color w:val="000000"/>
          <w:sz w:val="32"/>
          <w:szCs w:val="32"/>
          <w:lang w:val="en-US" w:eastAsia="zh-CN"/>
        </w:rPr>
        <w:t>109194</w:t>
      </w:r>
      <w:r>
        <w:rPr>
          <w:rFonts w:hint="eastAsia" w:ascii="仿宋_GB2312" w:hAnsi="仿宋" w:eastAsia="仿宋_GB2312"/>
          <w:color w:val="000000"/>
          <w:sz w:val="32"/>
          <w:szCs w:val="32"/>
        </w:rPr>
        <w:t>万元，为</w:t>
      </w:r>
      <w:r>
        <w:rPr>
          <w:rFonts w:hint="eastAsia" w:ascii="仿宋_GB2312" w:hAnsi="仿宋" w:eastAsia="仿宋_GB2312"/>
          <w:color w:val="000000"/>
          <w:sz w:val="32"/>
          <w:szCs w:val="32"/>
          <w:lang w:eastAsia="zh-CN"/>
        </w:rPr>
        <w:t>预算</w:t>
      </w:r>
      <w:r>
        <w:rPr>
          <w:rFonts w:hint="eastAsia" w:ascii="仿宋_GB2312" w:hAnsi="仿宋" w:eastAsia="仿宋_GB2312"/>
          <w:color w:val="000000"/>
          <w:sz w:val="32"/>
          <w:szCs w:val="32"/>
        </w:rPr>
        <w:t>的</w:t>
      </w:r>
      <w:r>
        <w:rPr>
          <w:rFonts w:hint="eastAsia" w:ascii="仿宋_GB2312" w:hAnsi="仿宋" w:eastAsia="仿宋_GB2312"/>
          <w:color w:val="000000"/>
          <w:sz w:val="32"/>
          <w:szCs w:val="32"/>
          <w:lang w:val="en-US" w:eastAsia="zh-CN"/>
        </w:rPr>
        <w:t>108.2</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w:t>
      </w:r>
    </w:p>
    <w:p w14:paraId="5791FFE8">
      <w:pPr>
        <w:keepNext w:val="0"/>
        <w:keepLines w:val="0"/>
        <w:pageBreakBefore w:val="0"/>
        <w:widowControl w:val="0"/>
        <w:tabs>
          <w:tab w:val="left" w:pos="993"/>
        </w:tabs>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4.</w:t>
      </w:r>
      <w:r>
        <w:rPr>
          <w:rFonts w:hint="eastAsia" w:ascii="仿宋_GB2312" w:eastAsia="仿宋_GB2312"/>
        </w:rPr>
        <w:t xml:space="preserve"> </w:t>
      </w:r>
      <w:r>
        <w:rPr>
          <w:rFonts w:hint="eastAsia" w:ascii="仿宋_GB2312" w:hAnsi="仿宋" w:eastAsia="仿宋_GB2312"/>
          <w:color w:val="000000"/>
          <w:sz w:val="32"/>
          <w:szCs w:val="32"/>
        </w:rPr>
        <w:t>城市基础设施配套费收入</w:t>
      </w:r>
      <w:r>
        <w:rPr>
          <w:rFonts w:hint="eastAsia" w:ascii="仿宋_GB2312" w:hAnsi="仿宋" w:eastAsia="仿宋_GB2312"/>
          <w:color w:val="000000"/>
          <w:sz w:val="32"/>
          <w:szCs w:val="32"/>
          <w:lang w:val="en-US" w:eastAsia="zh-CN"/>
        </w:rPr>
        <w:t>1466</w:t>
      </w:r>
      <w:r>
        <w:rPr>
          <w:rFonts w:hint="eastAsia" w:ascii="仿宋_GB2312" w:hAnsi="仿宋" w:eastAsia="仿宋_GB2312"/>
          <w:color w:val="000000"/>
          <w:sz w:val="32"/>
          <w:szCs w:val="32"/>
        </w:rPr>
        <w:t>万元，为</w:t>
      </w:r>
      <w:r>
        <w:rPr>
          <w:rFonts w:hint="eastAsia" w:ascii="仿宋_GB2312" w:hAnsi="仿宋" w:eastAsia="仿宋_GB2312"/>
          <w:color w:val="000000"/>
          <w:sz w:val="32"/>
          <w:szCs w:val="32"/>
          <w:lang w:eastAsia="zh-CN"/>
        </w:rPr>
        <w:t>预算</w:t>
      </w:r>
      <w:r>
        <w:rPr>
          <w:rFonts w:hint="eastAsia" w:ascii="仿宋_GB2312" w:hAnsi="仿宋" w:eastAsia="仿宋_GB2312"/>
          <w:color w:val="000000"/>
          <w:sz w:val="32"/>
          <w:szCs w:val="32"/>
        </w:rPr>
        <w:t>的</w:t>
      </w:r>
      <w:r>
        <w:rPr>
          <w:rFonts w:hint="eastAsia" w:ascii="仿宋_GB2312" w:hAnsi="仿宋" w:eastAsia="仿宋_GB2312"/>
          <w:color w:val="000000"/>
          <w:sz w:val="32"/>
          <w:szCs w:val="32"/>
          <w:lang w:val="en-US" w:eastAsia="zh-CN"/>
        </w:rPr>
        <w:t>29.3</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w:t>
      </w:r>
    </w:p>
    <w:p w14:paraId="62C28DE7">
      <w:pPr>
        <w:keepNext w:val="0"/>
        <w:keepLines w:val="0"/>
        <w:pageBreakBefore w:val="0"/>
        <w:widowControl w:val="0"/>
        <w:tabs>
          <w:tab w:val="left" w:pos="993"/>
        </w:tabs>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 w:eastAsia="仿宋_GB2312"/>
          <w:color w:val="FF0000"/>
          <w:sz w:val="32"/>
          <w:szCs w:val="32"/>
          <w:lang w:eastAsia="zh-CN"/>
        </w:rPr>
      </w:pPr>
      <w:r>
        <w:rPr>
          <w:rFonts w:hint="eastAsia" w:ascii="仿宋_GB2312" w:hAnsi="仿宋" w:eastAsia="仿宋_GB2312"/>
          <w:color w:val="000000"/>
          <w:sz w:val="32"/>
          <w:szCs w:val="32"/>
        </w:rPr>
        <w:t>5.</w:t>
      </w:r>
      <w:r>
        <w:rPr>
          <w:rFonts w:hint="eastAsia" w:ascii="仿宋_GB2312" w:eastAsia="仿宋_GB2312"/>
        </w:rPr>
        <w:t xml:space="preserve"> </w:t>
      </w:r>
      <w:r>
        <w:rPr>
          <w:rFonts w:hint="eastAsia" w:ascii="仿宋_GB2312" w:hAnsi="仿宋" w:eastAsia="仿宋_GB2312"/>
          <w:color w:val="000000"/>
          <w:sz w:val="32"/>
          <w:szCs w:val="32"/>
        </w:rPr>
        <w:t>污水处理费收入</w:t>
      </w:r>
      <w:r>
        <w:rPr>
          <w:rFonts w:hint="eastAsia" w:ascii="仿宋_GB2312" w:hAnsi="仿宋" w:eastAsia="仿宋_GB2312"/>
          <w:color w:val="000000"/>
          <w:sz w:val="32"/>
          <w:szCs w:val="32"/>
          <w:lang w:val="en-US" w:eastAsia="zh-CN"/>
        </w:rPr>
        <w:t>910</w:t>
      </w:r>
      <w:r>
        <w:rPr>
          <w:rFonts w:hint="eastAsia" w:ascii="仿宋_GB2312" w:hAnsi="仿宋" w:eastAsia="仿宋_GB2312"/>
          <w:color w:val="000000"/>
          <w:sz w:val="32"/>
          <w:szCs w:val="32"/>
        </w:rPr>
        <w:t>万元，为</w:t>
      </w:r>
      <w:r>
        <w:rPr>
          <w:rFonts w:hint="eastAsia" w:ascii="仿宋_GB2312" w:hAnsi="仿宋" w:eastAsia="仿宋_GB2312"/>
          <w:color w:val="000000"/>
          <w:sz w:val="32"/>
          <w:szCs w:val="32"/>
          <w:lang w:eastAsia="zh-CN"/>
        </w:rPr>
        <w:t>预算</w:t>
      </w:r>
      <w:r>
        <w:rPr>
          <w:rFonts w:hint="eastAsia" w:ascii="仿宋_GB2312" w:hAnsi="仿宋" w:eastAsia="仿宋_GB2312"/>
          <w:color w:val="000000"/>
          <w:sz w:val="32"/>
          <w:szCs w:val="32"/>
        </w:rPr>
        <w:t>的</w:t>
      </w:r>
      <w:r>
        <w:rPr>
          <w:rFonts w:hint="eastAsia" w:ascii="仿宋_GB2312" w:hAnsi="仿宋" w:eastAsia="仿宋_GB2312"/>
          <w:color w:val="000000"/>
          <w:sz w:val="32"/>
          <w:szCs w:val="32"/>
          <w:lang w:val="en-US" w:eastAsia="zh-CN"/>
        </w:rPr>
        <w:t>86.7</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w:t>
      </w:r>
    </w:p>
    <w:p w14:paraId="56BFD0B3">
      <w:pPr>
        <w:tabs>
          <w:tab w:val="left" w:pos="993"/>
        </w:tabs>
        <w:spacing w:line="560" w:lineRule="exact"/>
        <w:ind w:firstLine="707" w:firstLineChars="221"/>
        <w:rPr>
          <w:rFonts w:hint="eastAsia" w:ascii="仿宋_GB2312" w:hAnsi="仿宋" w:eastAsia="仿宋_GB2312"/>
          <w:color w:val="000000"/>
          <w:sz w:val="32"/>
          <w:szCs w:val="32"/>
        </w:rPr>
      </w:pPr>
    </w:p>
    <w:p w14:paraId="10BD7C14">
      <w:pPr>
        <w:rPr>
          <w:rFonts w:hint="eastAsia" w:ascii="仿宋_GB2312" w:hAnsi="仿宋" w:eastAsia="仿宋_GB2312"/>
          <w:color w:val="000000"/>
          <w:sz w:val="32"/>
          <w:szCs w:val="32"/>
        </w:rPr>
      </w:pPr>
      <w:r>
        <w:rPr>
          <w:rFonts w:hint="eastAsia" w:ascii="仿宋_GB2312" w:hAnsi="仿宋" w:eastAsia="仿宋_GB2312"/>
          <w:color w:val="000000"/>
          <w:sz w:val="32"/>
          <w:szCs w:val="32"/>
        </w:rPr>
        <w:br w:type="page"/>
      </w:r>
    </w:p>
    <w:tbl>
      <w:tblPr>
        <w:tblStyle w:val="20"/>
        <w:tblW w:w="8878" w:type="dxa"/>
        <w:tblInd w:w="89" w:type="dxa"/>
        <w:tblLayout w:type="fixed"/>
        <w:tblCellMar>
          <w:top w:w="0" w:type="dxa"/>
          <w:left w:w="108" w:type="dxa"/>
          <w:bottom w:w="0" w:type="dxa"/>
          <w:right w:w="108" w:type="dxa"/>
        </w:tblCellMar>
      </w:tblPr>
      <w:tblGrid>
        <w:gridCol w:w="3654"/>
        <w:gridCol w:w="1635"/>
        <w:gridCol w:w="1597"/>
        <w:gridCol w:w="1992"/>
      </w:tblGrid>
      <w:tr w14:paraId="12267012">
        <w:tblPrEx>
          <w:tblCellMar>
            <w:top w:w="0" w:type="dxa"/>
            <w:left w:w="108" w:type="dxa"/>
            <w:bottom w:w="0" w:type="dxa"/>
            <w:right w:w="108" w:type="dxa"/>
          </w:tblCellMar>
        </w:tblPrEx>
        <w:trPr>
          <w:trHeight w:val="767" w:hRule="atLeast"/>
        </w:trPr>
        <w:tc>
          <w:tcPr>
            <w:tcW w:w="3654" w:type="dxa"/>
            <w:tcBorders>
              <w:top w:val="nil"/>
              <w:left w:val="nil"/>
              <w:bottom w:val="nil"/>
              <w:right w:val="nil"/>
            </w:tcBorders>
            <w:shd w:val="clear" w:color="auto" w:fill="auto"/>
            <w:vAlign w:val="center"/>
          </w:tcPr>
          <w:p w14:paraId="7D16FBCA">
            <w:pPr>
              <w:widowControl/>
              <w:jc w:val="left"/>
              <w:rPr>
                <w:rFonts w:hint="eastAsia" w:ascii="宋体" w:hAnsi="宋体" w:eastAsia="宋体" w:cs="宋体"/>
                <w:kern w:val="0"/>
                <w:sz w:val="24"/>
                <w:szCs w:val="24"/>
              </w:rPr>
            </w:pPr>
            <w:r>
              <w:rPr>
                <w:rFonts w:hint="eastAsia" w:ascii="黑体" w:hAnsi="黑体" w:eastAsia="黑体" w:cs="黑体"/>
                <w:color w:val="000000"/>
                <w:sz w:val="32"/>
                <w:szCs w:val="32"/>
              </w:rPr>
              <w:br w:type="page"/>
            </w:r>
            <w:r>
              <w:rPr>
                <w:rFonts w:hint="eastAsia" w:ascii="黑体" w:hAnsi="黑体" w:eastAsia="黑体" w:cs="黑体"/>
                <w:color w:val="000000"/>
                <w:sz w:val="32"/>
                <w:szCs w:val="32"/>
              </w:rPr>
              <w:br w:type="page"/>
            </w:r>
            <w:r>
              <w:rPr>
                <w:rFonts w:hint="eastAsia" w:ascii="黑体" w:hAnsi="黑体" w:eastAsia="黑体" w:cs="黑体"/>
                <w:kern w:val="0"/>
                <w:sz w:val="32"/>
                <w:szCs w:val="32"/>
              </w:rPr>
              <w:t>表六</w:t>
            </w:r>
          </w:p>
        </w:tc>
        <w:tc>
          <w:tcPr>
            <w:tcW w:w="1635" w:type="dxa"/>
            <w:tcBorders>
              <w:top w:val="nil"/>
              <w:left w:val="nil"/>
              <w:bottom w:val="nil"/>
              <w:right w:val="nil"/>
            </w:tcBorders>
            <w:shd w:val="clear" w:color="auto" w:fill="auto"/>
            <w:vAlign w:val="center"/>
          </w:tcPr>
          <w:p w14:paraId="1A1587EB">
            <w:pPr>
              <w:widowControl/>
              <w:jc w:val="left"/>
              <w:rPr>
                <w:rFonts w:hint="eastAsia" w:ascii="宋体" w:hAnsi="宋体" w:eastAsia="宋体" w:cs="宋体"/>
                <w:kern w:val="0"/>
                <w:sz w:val="24"/>
                <w:szCs w:val="24"/>
              </w:rPr>
            </w:pPr>
          </w:p>
        </w:tc>
        <w:tc>
          <w:tcPr>
            <w:tcW w:w="1597" w:type="dxa"/>
            <w:tcBorders>
              <w:top w:val="nil"/>
              <w:left w:val="nil"/>
              <w:bottom w:val="nil"/>
              <w:right w:val="nil"/>
            </w:tcBorders>
            <w:shd w:val="clear" w:color="auto" w:fill="auto"/>
            <w:vAlign w:val="center"/>
          </w:tcPr>
          <w:p w14:paraId="18A824E6">
            <w:pPr>
              <w:widowControl/>
              <w:jc w:val="left"/>
              <w:rPr>
                <w:rFonts w:hint="eastAsia" w:ascii="宋体" w:hAnsi="宋体" w:eastAsia="宋体" w:cs="宋体"/>
                <w:kern w:val="0"/>
                <w:sz w:val="24"/>
                <w:szCs w:val="24"/>
              </w:rPr>
            </w:pPr>
          </w:p>
        </w:tc>
        <w:tc>
          <w:tcPr>
            <w:tcW w:w="1992" w:type="dxa"/>
            <w:tcBorders>
              <w:top w:val="nil"/>
              <w:left w:val="nil"/>
              <w:bottom w:val="nil"/>
              <w:right w:val="nil"/>
            </w:tcBorders>
            <w:shd w:val="clear" w:color="auto" w:fill="auto"/>
            <w:vAlign w:val="center"/>
          </w:tcPr>
          <w:p w14:paraId="617D22D9">
            <w:pPr>
              <w:widowControl/>
              <w:jc w:val="left"/>
              <w:rPr>
                <w:rFonts w:hint="eastAsia" w:ascii="宋体" w:hAnsi="宋体" w:eastAsia="宋体" w:cs="宋体"/>
                <w:kern w:val="0"/>
                <w:sz w:val="24"/>
                <w:szCs w:val="24"/>
              </w:rPr>
            </w:pPr>
          </w:p>
        </w:tc>
      </w:tr>
      <w:tr w14:paraId="3E4F3FFD">
        <w:tblPrEx>
          <w:tblCellMar>
            <w:top w:w="0" w:type="dxa"/>
            <w:left w:w="108" w:type="dxa"/>
            <w:bottom w:w="0" w:type="dxa"/>
            <w:right w:w="108" w:type="dxa"/>
          </w:tblCellMar>
        </w:tblPrEx>
        <w:trPr>
          <w:trHeight w:val="1328" w:hRule="atLeast"/>
        </w:trPr>
        <w:tc>
          <w:tcPr>
            <w:tcW w:w="8878" w:type="dxa"/>
            <w:gridSpan w:val="4"/>
            <w:tcBorders>
              <w:top w:val="nil"/>
              <w:left w:val="nil"/>
              <w:bottom w:val="nil"/>
              <w:right w:val="nil"/>
            </w:tcBorders>
            <w:shd w:val="clear" w:color="auto" w:fill="auto"/>
            <w:vAlign w:val="center"/>
          </w:tcPr>
          <w:p w14:paraId="65E6850B">
            <w:pPr>
              <w:pStyle w:val="48"/>
              <w:rPr>
                <w:rFonts w:hint="eastAsia" w:ascii="宋体" w:hAnsi="宋体" w:eastAsia="宋体" w:cs="宋体"/>
                <w:sz w:val="24"/>
                <w:szCs w:val="24"/>
              </w:rPr>
            </w:pPr>
            <w:r>
              <w:rPr>
                <w:rFonts w:hint="eastAsia" w:ascii="方正小标宋简体" w:hAnsi="方正小标宋简体" w:eastAsia="方正小标宋简体" w:cs="方正小标宋简体"/>
                <w:sz w:val="44"/>
                <w:szCs w:val="44"/>
              </w:rPr>
              <w:t>202</w:t>
            </w:r>
            <w:r>
              <w:rPr>
                <w:rFonts w:hint="eastAsia" w:hAnsi="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年政府性基金支出执行情况表</w:t>
            </w:r>
          </w:p>
        </w:tc>
      </w:tr>
      <w:tr w14:paraId="71AACE1D">
        <w:tblPrEx>
          <w:tblCellMar>
            <w:top w:w="0" w:type="dxa"/>
            <w:left w:w="108" w:type="dxa"/>
            <w:bottom w:w="0" w:type="dxa"/>
            <w:right w:w="108" w:type="dxa"/>
          </w:tblCellMar>
        </w:tblPrEx>
        <w:trPr>
          <w:trHeight w:val="494" w:hRule="atLeast"/>
        </w:trPr>
        <w:tc>
          <w:tcPr>
            <w:tcW w:w="3654" w:type="dxa"/>
            <w:tcBorders>
              <w:top w:val="nil"/>
              <w:left w:val="nil"/>
              <w:bottom w:val="nil"/>
              <w:right w:val="nil"/>
            </w:tcBorders>
            <w:shd w:val="clear" w:color="auto" w:fill="auto"/>
            <w:vAlign w:val="center"/>
          </w:tcPr>
          <w:p w14:paraId="2B7709F8">
            <w:pPr>
              <w:widowControl/>
              <w:jc w:val="center"/>
              <w:rPr>
                <w:rFonts w:hint="eastAsia" w:ascii="宋体" w:hAnsi="宋体" w:eastAsia="宋体" w:cs="宋体"/>
                <w:kern w:val="0"/>
                <w:sz w:val="24"/>
                <w:szCs w:val="24"/>
              </w:rPr>
            </w:pPr>
          </w:p>
        </w:tc>
        <w:tc>
          <w:tcPr>
            <w:tcW w:w="1635" w:type="dxa"/>
            <w:tcBorders>
              <w:top w:val="nil"/>
              <w:left w:val="nil"/>
              <w:bottom w:val="nil"/>
              <w:right w:val="nil"/>
            </w:tcBorders>
            <w:shd w:val="clear" w:color="auto" w:fill="auto"/>
            <w:vAlign w:val="center"/>
          </w:tcPr>
          <w:p w14:paraId="3BD10464">
            <w:pPr>
              <w:widowControl/>
              <w:jc w:val="center"/>
              <w:rPr>
                <w:rFonts w:hint="eastAsia" w:ascii="宋体" w:hAnsi="宋体" w:eastAsia="宋体" w:cs="宋体"/>
                <w:kern w:val="0"/>
                <w:sz w:val="24"/>
                <w:szCs w:val="24"/>
              </w:rPr>
            </w:pPr>
          </w:p>
        </w:tc>
        <w:tc>
          <w:tcPr>
            <w:tcW w:w="3589" w:type="dxa"/>
            <w:gridSpan w:val="2"/>
            <w:tcBorders>
              <w:top w:val="nil"/>
              <w:left w:val="nil"/>
              <w:bottom w:val="nil"/>
              <w:right w:val="nil"/>
            </w:tcBorders>
            <w:shd w:val="clear" w:color="auto" w:fill="auto"/>
            <w:vAlign w:val="center"/>
          </w:tcPr>
          <w:p w14:paraId="4E9E26BB">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单位：万元</w:t>
            </w:r>
          </w:p>
        </w:tc>
      </w:tr>
      <w:tr w14:paraId="45736E5B">
        <w:tblPrEx>
          <w:tblCellMar>
            <w:top w:w="0" w:type="dxa"/>
            <w:left w:w="108" w:type="dxa"/>
            <w:bottom w:w="0" w:type="dxa"/>
            <w:right w:w="108" w:type="dxa"/>
          </w:tblCellMar>
        </w:tblPrEx>
        <w:trPr>
          <w:trHeight w:val="795" w:hRule="atLeast"/>
        </w:trPr>
        <w:tc>
          <w:tcPr>
            <w:tcW w:w="3654" w:type="dxa"/>
            <w:tcBorders>
              <w:top w:val="single" w:color="auto" w:sz="4" w:space="0"/>
              <w:left w:val="single" w:color="auto" w:sz="4" w:space="0"/>
              <w:bottom w:val="nil"/>
              <w:right w:val="single" w:color="auto" w:sz="4" w:space="0"/>
            </w:tcBorders>
            <w:shd w:val="clear" w:color="auto" w:fill="auto"/>
            <w:vAlign w:val="center"/>
          </w:tcPr>
          <w:p w14:paraId="3C968699">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项   目</w:t>
            </w:r>
          </w:p>
        </w:tc>
        <w:tc>
          <w:tcPr>
            <w:tcW w:w="1635" w:type="dxa"/>
            <w:tcBorders>
              <w:top w:val="single" w:color="auto" w:sz="4" w:space="0"/>
              <w:left w:val="nil"/>
              <w:bottom w:val="single" w:color="auto" w:sz="4" w:space="0"/>
              <w:right w:val="single" w:color="auto" w:sz="4" w:space="0"/>
            </w:tcBorders>
            <w:shd w:val="clear" w:color="auto" w:fill="auto"/>
            <w:vAlign w:val="center"/>
          </w:tcPr>
          <w:p w14:paraId="268D0DA1">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color w:val="000000"/>
                <w:kern w:val="0"/>
                <w:sz w:val="24"/>
                <w:szCs w:val="24"/>
                <w:u w:val="none"/>
                <w:lang w:val="en-US" w:eastAsia="zh-CN" w:bidi="ar"/>
              </w:rPr>
              <w:t>调整预算</w:t>
            </w:r>
          </w:p>
        </w:tc>
        <w:tc>
          <w:tcPr>
            <w:tcW w:w="1597" w:type="dxa"/>
            <w:tcBorders>
              <w:top w:val="single" w:color="auto" w:sz="4" w:space="0"/>
              <w:left w:val="nil"/>
              <w:bottom w:val="single" w:color="auto" w:sz="4" w:space="0"/>
              <w:right w:val="single" w:color="auto" w:sz="4" w:space="0"/>
            </w:tcBorders>
            <w:shd w:val="clear" w:color="auto" w:fill="auto"/>
            <w:vAlign w:val="center"/>
          </w:tcPr>
          <w:p w14:paraId="71AD036C">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执行数</w:t>
            </w:r>
          </w:p>
        </w:tc>
        <w:tc>
          <w:tcPr>
            <w:tcW w:w="1992" w:type="dxa"/>
            <w:tcBorders>
              <w:top w:val="single" w:color="auto" w:sz="4" w:space="0"/>
              <w:left w:val="nil"/>
              <w:bottom w:val="single" w:color="auto" w:sz="4" w:space="0"/>
              <w:right w:val="single" w:color="auto" w:sz="4" w:space="0"/>
            </w:tcBorders>
            <w:shd w:val="clear" w:color="auto" w:fill="auto"/>
            <w:vAlign w:val="center"/>
          </w:tcPr>
          <w:p w14:paraId="3E546C31">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为调整预算数%</w:t>
            </w:r>
          </w:p>
        </w:tc>
      </w:tr>
      <w:tr w14:paraId="28E2E1EB">
        <w:tblPrEx>
          <w:tblCellMar>
            <w:top w:w="0" w:type="dxa"/>
            <w:left w:w="108" w:type="dxa"/>
            <w:bottom w:w="0" w:type="dxa"/>
            <w:right w:w="108" w:type="dxa"/>
          </w:tblCellMar>
        </w:tblPrEx>
        <w:trPr>
          <w:trHeight w:val="626" w:hRule="atLeast"/>
        </w:trPr>
        <w:tc>
          <w:tcPr>
            <w:tcW w:w="3654" w:type="dxa"/>
            <w:tcBorders>
              <w:top w:val="single" w:color="auto" w:sz="4" w:space="0"/>
              <w:left w:val="single" w:color="auto" w:sz="4" w:space="0"/>
              <w:bottom w:val="single" w:color="auto" w:sz="4" w:space="0"/>
              <w:right w:val="single" w:color="auto" w:sz="4" w:space="0"/>
            </w:tcBorders>
            <w:shd w:val="clear" w:color="auto" w:fill="auto"/>
            <w:vAlign w:val="center"/>
          </w:tcPr>
          <w:p w14:paraId="4E606561">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节能环保支出</w:t>
            </w:r>
          </w:p>
        </w:tc>
        <w:tc>
          <w:tcPr>
            <w:tcW w:w="1635" w:type="dxa"/>
            <w:tcBorders>
              <w:top w:val="nil"/>
              <w:left w:val="nil"/>
              <w:bottom w:val="single" w:color="auto" w:sz="4" w:space="0"/>
              <w:right w:val="single" w:color="auto" w:sz="4" w:space="0"/>
            </w:tcBorders>
            <w:shd w:val="clear" w:color="auto" w:fill="auto"/>
            <w:vAlign w:val="center"/>
          </w:tcPr>
          <w:p w14:paraId="5CC7E0B5">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i w:val="0"/>
                <w:color w:val="000000"/>
                <w:kern w:val="0"/>
                <w:sz w:val="24"/>
                <w:szCs w:val="24"/>
                <w:u w:val="none"/>
                <w:lang w:val="en-US" w:eastAsia="zh-CN" w:bidi="ar"/>
              </w:rPr>
              <w:t>2630</w:t>
            </w:r>
          </w:p>
        </w:tc>
        <w:tc>
          <w:tcPr>
            <w:tcW w:w="1597" w:type="dxa"/>
            <w:tcBorders>
              <w:top w:val="nil"/>
              <w:left w:val="nil"/>
              <w:bottom w:val="single" w:color="auto" w:sz="4" w:space="0"/>
              <w:right w:val="single" w:color="auto" w:sz="4" w:space="0"/>
            </w:tcBorders>
            <w:shd w:val="clear" w:color="auto" w:fill="auto"/>
            <w:vAlign w:val="center"/>
          </w:tcPr>
          <w:p w14:paraId="090087A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2630</w:t>
            </w:r>
          </w:p>
        </w:tc>
        <w:tc>
          <w:tcPr>
            <w:tcW w:w="1992" w:type="dxa"/>
            <w:tcBorders>
              <w:top w:val="nil"/>
              <w:left w:val="nil"/>
              <w:bottom w:val="single" w:color="auto" w:sz="4" w:space="0"/>
              <w:right w:val="single" w:color="auto" w:sz="4" w:space="0"/>
            </w:tcBorders>
            <w:shd w:val="clear" w:color="auto" w:fill="auto"/>
            <w:vAlign w:val="center"/>
          </w:tcPr>
          <w:p w14:paraId="29D87D7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100.0%</w:t>
            </w:r>
          </w:p>
        </w:tc>
      </w:tr>
      <w:tr w14:paraId="1AA4111B">
        <w:tblPrEx>
          <w:tblCellMar>
            <w:top w:w="0" w:type="dxa"/>
            <w:left w:w="108" w:type="dxa"/>
            <w:bottom w:w="0" w:type="dxa"/>
            <w:right w:w="108" w:type="dxa"/>
          </w:tblCellMar>
        </w:tblPrEx>
        <w:trPr>
          <w:trHeight w:val="626" w:hRule="atLeast"/>
        </w:trPr>
        <w:tc>
          <w:tcPr>
            <w:tcW w:w="3654" w:type="dxa"/>
            <w:tcBorders>
              <w:top w:val="nil"/>
              <w:left w:val="single" w:color="auto" w:sz="4" w:space="0"/>
              <w:bottom w:val="single" w:color="auto" w:sz="4" w:space="0"/>
              <w:right w:val="single" w:color="auto" w:sz="4" w:space="0"/>
            </w:tcBorders>
            <w:shd w:val="clear" w:color="auto" w:fill="auto"/>
            <w:vAlign w:val="center"/>
          </w:tcPr>
          <w:p w14:paraId="53F3DB57">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城乡社区支出</w:t>
            </w:r>
          </w:p>
        </w:tc>
        <w:tc>
          <w:tcPr>
            <w:tcW w:w="1635" w:type="dxa"/>
            <w:tcBorders>
              <w:top w:val="nil"/>
              <w:left w:val="nil"/>
              <w:bottom w:val="single" w:color="auto" w:sz="4" w:space="0"/>
              <w:right w:val="single" w:color="auto" w:sz="4" w:space="0"/>
            </w:tcBorders>
            <w:shd w:val="clear" w:color="000000" w:fill="FFFFFF"/>
            <w:vAlign w:val="center"/>
          </w:tcPr>
          <w:p w14:paraId="6122D97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198672</w:t>
            </w:r>
          </w:p>
        </w:tc>
        <w:tc>
          <w:tcPr>
            <w:tcW w:w="1597" w:type="dxa"/>
            <w:tcBorders>
              <w:top w:val="nil"/>
              <w:left w:val="nil"/>
              <w:bottom w:val="single" w:color="auto" w:sz="4" w:space="0"/>
              <w:right w:val="single" w:color="auto" w:sz="4" w:space="0"/>
            </w:tcBorders>
            <w:shd w:val="clear" w:color="000000" w:fill="FFFFFF"/>
            <w:vAlign w:val="center"/>
          </w:tcPr>
          <w:p w14:paraId="1040C98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166979</w:t>
            </w:r>
          </w:p>
        </w:tc>
        <w:tc>
          <w:tcPr>
            <w:tcW w:w="1992" w:type="dxa"/>
            <w:tcBorders>
              <w:top w:val="nil"/>
              <w:left w:val="nil"/>
              <w:bottom w:val="single" w:color="auto" w:sz="4" w:space="0"/>
              <w:right w:val="single" w:color="auto" w:sz="4" w:space="0"/>
            </w:tcBorders>
            <w:shd w:val="clear" w:color="auto" w:fill="auto"/>
            <w:vAlign w:val="center"/>
          </w:tcPr>
          <w:p w14:paraId="7BB08E2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84.0%</w:t>
            </w:r>
          </w:p>
        </w:tc>
      </w:tr>
      <w:tr w14:paraId="045301EC">
        <w:tblPrEx>
          <w:tblCellMar>
            <w:top w:w="0" w:type="dxa"/>
            <w:left w:w="108" w:type="dxa"/>
            <w:bottom w:w="0" w:type="dxa"/>
            <w:right w:w="108" w:type="dxa"/>
          </w:tblCellMar>
        </w:tblPrEx>
        <w:trPr>
          <w:trHeight w:val="626" w:hRule="atLeast"/>
        </w:trPr>
        <w:tc>
          <w:tcPr>
            <w:tcW w:w="3654" w:type="dxa"/>
            <w:tcBorders>
              <w:top w:val="nil"/>
              <w:left w:val="single" w:color="auto" w:sz="4" w:space="0"/>
              <w:bottom w:val="single" w:color="auto" w:sz="4" w:space="0"/>
              <w:right w:val="single" w:color="auto" w:sz="4" w:space="0"/>
            </w:tcBorders>
            <w:shd w:val="clear" w:color="auto" w:fill="auto"/>
            <w:vAlign w:val="center"/>
          </w:tcPr>
          <w:p w14:paraId="13FC8932">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农林水支出</w:t>
            </w:r>
          </w:p>
        </w:tc>
        <w:tc>
          <w:tcPr>
            <w:tcW w:w="1635" w:type="dxa"/>
            <w:tcBorders>
              <w:top w:val="nil"/>
              <w:left w:val="nil"/>
              <w:bottom w:val="single" w:color="auto" w:sz="4" w:space="0"/>
              <w:right w:val="single" w:color="auto" w:sz="4" w:space="0"/>
            </w:tcBorders>
            <w:shd w:val="clear" w:color="000000" w:fill="FFFFFF"/>
            <w:vAlign w:val="center"/>
          </w:tcPr>
          <w:p w14:paraId="6770FEF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6147</w:t>
            </w:r>
          </w:p>
        </w:tc>
        <w:tc>
          <w:tcPr>
            <w:tcW w:w="1597" w:type="dxa"/>
            <w:tcBorders>
              <w:top w:val="nil"/>
              <w:left w:val="nil"/>
              <w:bottom w:val="single" w:color="auto" w:sz="4" w:space="0"/>
              <w:right w:val="single" w:color="auto" w:sz="4" w:space="0"/>
            </w:tcBorders>
            <w:shd w:val="clear" w:color="000000" w:fill="FFFFFF"/>
            <w:vAlign w:val="center"/>
          </w:tcPr>
          <w:p w14:paraId="6E46413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6147</w:t>
            </w:r>
          </w:p>
        </w:tc>
        <w:tc>
          <w:tcPr>
            <w:tcW w:w="1992" w:type="dxa"/>
            <w:tcBorders>
              <w:top w:val="nil"/>
              <w:left w:val="nil"/>
              <w:bottom w:val="single" w:color="auto" w:sz="4" w:space="0"/>
              <w:right w:val="single" w:color="auto" w:sz="4" w:space="0"/>
            </w:tcBorders>
            <w:shd w:val="clear" w:color="auto" w:fill="auto"/>
            <w:vAlign w:val="center"/>
          </w:tcPr>
          <w:p w14:paraId="401EF7B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100.0%</w:t>
            </w:r>
          </w:p>
        </w:tc>
      </w:tr>
      <w:tr w14:paraId="3D6642A2">
        <w:tblPrEx>
          <w:tblCellMar>
            <w:top w:w="0" w:type="dxa"/>
            <w:left w:w="108" w:type="dxa"/>
            <w:bottom w:w="0" w:type="dxa"/>
            <w:right w:w="108" w:type="dxa"/>
          </w:tblCellMar>
        </w:tblPrEx>
        <w:trPr>
          <w:trHeight w:val="584" w:hRule="atLeast"/>
        </w:trPr>
        <w:tc>
          <w:tcPr>
            <w:tcW w:w="3654" w:type="dxa"/>
            <w:tcBorders>
              <w:top w:val="nil"/>
              <w:left w:val="single" w:color="auto" w:sz="4" w:space="0"/>
              <w:bottom w:val="single" w:color="auto" w:sz="4" w:space="0"/>
              <w:right w:val="single" w:color="auto" w:sz="4" w:space="0"/>
            </w:tcBorders>
            <w:shd w:val="clear" w:color="auto" w:fill="auto"/>
            <w:vAlign w:val="center"/>
          </w:tcPr>
          <w:p w14:paraId="089B93DC">
            <w:pPr>
              <w:keepNext w:val="0"/>
              <w:keepLines w:val="0"/>
              <w:widowControl/>
              <w:suppressLineNumbers w:val="0"/>
              <w:jc w:val="both"/>
              <w:textAlignment w:val="center"/>
              <w:rPr>
                <w:rFonts w:hint="default" w:ascii="宋体" w:hAnsi="宋体" w:eastAsia="宋体" w:cs="宋体"/>
                <w:sz w:val="24"/>
                <w:szCs w:val="24"/>
                <w:lang w:val="en-US"/>
              </w:rPr>
            </w:pPr>
            <w:r>
              <w:rPr>
                <w:rFonts w:hint="eastAsia" w:ascii="宋体" w:hAnsi="宋体" w:eastAsia="宋体" w:cs="宋体"/>
                <w:i w:val="0"/>
                <w:color w:val="000000"/>
                <w:kern w:val="0"/>
                <w:sz w:val="24"/>
                <w:szCs w:val="24"/>
                <w:u w:val="none"/>
                <w:lang w:val="en-US" w:eastAsia="zh-CN" w:bidi="ar"/>
              </w:rPr>
              <w:t>资源勘探工业信息等支出</w:t>
            </w:r>
          </w:p>
        </w:tc>
        <w:tc>
          <w:tcPr>
            <w:tcW w:w="1635" w:type="dxa"/>
            <w:tcBorders>
              <w:top w:val="nil"/>
              <w:left w:val="nil"/>
              <w:bottom w:val="single" w:color="auto" w:sz="4" w:space="0"/>
              <w:right w:val="single" w:color="auto" w:sz="4" w:space="0"/>
            </w:tcBorders>
            <w:shd w:val="clear" w:color="auto" w:fill="auto"/>
            <w:vAlign w:val="center"/>
          </w:tcPr>
          <w:p w14:paraId="431C50F4">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i w:val="0"/>
                <w:color w:val="000000"/>
                <w:kern w:val="0"/>
                <w:sz w:val="24"/>
                <w:szCs w:val="24"/>
                <w:u w:val="none"/>
                <w:lang w:val="en-US" w:eastAsia="zh-CN" w:bidi="ar"/>
              </w:rPr>
              <w:t>126</w:t>
            </w:r>
          </w:p>
        </w:tc>
        <w:tc>
          <w:tcPr>
            <w:tcW w:w="1597" w:type="dxa"/>
            <w:tcBorders>
              <w:top w:val="nil"/>
              <w:left w:val="nil"/>
              <w:bottom w:val="single" w:color="auto" w:sz="4" w:space="0"/>
              <w:right w:val="single" w:color="auto" w:sz="4" w:space="0"/>
            </w:tcBorders>
            <w:shd w:val="clear" w:color="auto" w:fill="auto"/>
            <w:vAlign w:val="center"/>
          </w:tcPr>
          <w:p w14:paraId="41E251C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126</w:t>
            </w:r>
          </w:p>
        </w:tc>
        <w:tc>
          <w:tcPr>
            <w:tcW w:w="1992" w:type="dxa"/>
            <w:tcBorders>
              <w:top w:val="nil"/>
              <w:left w:val="nil"/>
              <w:bottom w:val="single" w:color="auto" w:sz="4" w:space="0"/>
              <w:right w:val="single" w:color="auto" w:sz="4" w:space="0"/>
            </w:tcBorders>
            <w:shd w:val="clear" w:color="auto" w:fill="auto"/>
            <w:vAlign w:val="center"/>
          </w:tcPr>
          <w:p w14:paraId="381C205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100.0%</w:t>
            </w:r>
          </w:p>
        </w:tc>
      </w:tr>
      <w:tr w14:paraId="6B698D35">
        <w:tblPrEx>
          <w:tblCellMar>
            <w:top w:w="0" w:type="dxa"/>
            <w:left w:w="108" w:type="dxa"/>
            <w:bottom w:w="0" w:type="dxa"/>
            <w:right w:w="108" w:type="dxa"/>
          </w:tblCellMar>
        </w:tblPrEx>
        <w:trPr>
          <w:trHeight w:val="626" w:hRule="atLeast"/>
        </w:trPr>
        <w:tc>
          <w:tcPr>
            <w:tcW w:w="3654" w:type="dxa"/>
            <w:tcBorders>
              <w:top w:val="nil"/>
              <w:left w:val="single" w:color="auto" w:sz="4" w:space="0"/>
              <w:bottom w:val="single" w:color="auto" w:sz="4" w:space="0"/>
              <w:right w:val="single" w:color="auto" w:sz="4" w:space="0"/>
            </w:tcBorders>
            <w:shd w:val="clear" w:color="auto" w:fill="auto"/>
            <w:vAlign w:val="center"/>
          </w:tcPr>
          <w:p w14:paraId="4A2A3EE7">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其他支出</w:t>
            </w:r>
          </w:p>
        </w:tc>
        <w:tc>
          <w:tcPr>
            <w:tcW w:w="1635" w:type="dxa"/>
            <w:tcBorders>
              <w:top w:val="nil"/>
              <w:left w:val="nil"/>
              <w:bottom w:val="single" w:color="auto" w:sz="4" w:space="0"/>
              <w:right w:val="single" w:color="auto" w:sz="4" w:space="0"/>
            </w:tcBorders>
            <w:shd w:val="clear" w:color="auto" w:fill="auto"/>
            <w:vAlign w:val="center"/>
          </w:tcPr>
          <w:p w14:paraId="1473D50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33448</w:t>
            </w:r>
          </w:p>
        </w:tc>
        <w:tc>
          <w:tcPr>
            <w:tcW w:w="1597" w:type="dxa"/>
            <w:tcBorders>
              <w:top w:val="nil"/>
              <w:left w:val="nil"/>
              <w:bottom w:val="single" w:color="auto" w:sz="4" w:space="0"/>
              <w:right w:val="single" w:color="auto" w:sz="4" w:space="0"/>
            </w:tcBorders>
            <w:shd w:val="clear" w:color="auto" w:fill="auto"/>
            <w:vAlign w:val="center"/>
          </w:tcPr>
          <w:p w14:paraId="7AB1A37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33448</w:t>
            </w:r>
          </w:p>
        </w:tc>
        <w:tc>
          <w:tcPr>
            <w:tcW w:w="1992" w:type="dxa"/>
            <w:tcBorders>
              <w:top w:val="nil"/>
              <w:left w:val="nil"/>
              <w:bottom w:val="single" w:color="auto" w:sz="4" w:space="0"/>
              <w:right w:val="single" w:color="auto" w:sz="4" w:space="0"/>
            </w:tcBorders>
            <w:shd w:val="clear" w:color="auto" w:fill="auto"/>
            <w:vAlign w:val="center"/>
          </w:tcPr>
          <w:p w14:paraId="6964B8E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100.0%</w:t>
            </w:r>
          </w:p>
        </w:tc>
      </w:tr>
      <w:tr w14:paraId="21C12332">
        <w:tblPrEx>
          <w:tblCellMar>
            <w:top w:w="0" w:type="dxa"/>
            <w:left w:w="108" w:type="dxa"/>
            <w:bottom w:w="0" w:type="dxa"/>
            <w:right w:w="108" w:type="dxa"/>
          </w:tblCellMar>
        </w:tblPrEx>
        <w:trPr>
          <w:trHeight w:val="626" w:hRule="atLeast"/>
        </w:trPr>
        <w:tc>
          <w:tcPr>
            <w:tcW w:w="3654" w:type="dxa"/>
            <w:tcBorders>
              <w:top w:val="single" w:color="auto" w:sz="4" w:space="0"/>
              <w:left w:val="single" w:color="auto" w:sz="4" w:space="0"/>
              <w:bottom w:val="single" w:color="auto" w:sz="4" w:space="0"/>
              <w:right w:val="single" w:color="auto" w:sz="4" w:space="0"/>
            </w:tcBorders>
            <w:shd w:val="clear" w:color="auto" w:fill="auto"/>
            <w:vAlign w:val="center"/>
          </w:tcPr>
          <w:p w14:paraId="148AA2A3">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债务付息支出</w:t>
            </w:r>
          </w:p>
        </w:tc>
        <w:tc>
          <w:tcPr>
            <w:tcW w:w="1635" w:type="dxa"/>
            <w:tcBorders>
              <w:top w:val="single" w:color="auto" w:sz="4" w:space="0"/>
              <w:left w:val="nil"/>
              <w:bottom w:val="single" w:color="auto" w:sz="4" w:space="0"/>
              <w:right w:val="single" w:color="auto" w:sz="4" w:space="0"/>
            </w:tcBorders>
            <w:shd w:val="clear" w:color="auto" w:fill="auto"/>
            <w:vAlign w:val="center"/>
          </w:tcPr>
          <w:p w14:paraId="7AABA1AC">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17510</w:t>
            </w:r>
          </w:p>
        </w:tc>
        <w:tc>
          <w:tcPr>
            <w:tcW w:w="1597" w:type="dxa"/>
            <w:tcBorders>
              <w:top w:val="single" w:color="auto" w:sz="4" w:space="0"/>
              <w:left w:val="nil"/>
              <w:bottom w:val="single" w:color="auto" w:sz="4" w:space="0"/>
              <w:right w:val="single" w:color="auto" w:sz="4" w:space="0"/>
            </w:tcBorders>
            <w:shd w:val="clear" w:color="auto" w:fill="auto"/>
            <w:vAlign w:val="center"/>
          </w:tcPr>
          <w:p w14:paraId="0F92173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17510</w:t>
            </w:r>
          </w:p>
        </w:tc>
        <w:tc>
          <w:tcPr>
            <w:tcW w:w="1992" w:type="dxa"/>
            <w:tcBorders>
              <w:top w:val="single" w:color="auto" w:sz="4" w:space="0"/>
              <w:left w:val="nil"/>
              <w:bottom w:val="single" w:color="auto" w:sz="4" w:space="0"/>
              <w:right w:val="single" w:color="auto" w:sz="4" w:space="0"/>
            </w:tcBorders>
            <w:shd w:val="clear" w:color="auto" w:fill="auto"/>
            <w:vAlign w:val="center"/>
          </w:tcPr>
          <w:p w14:paraId="1045065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100.0%</w:t>
            </w:r>
          </w:p>
        </w:tc>
      </w:tr>
      <w:tr w14:paraId="71BCD29E">
        <w:tblPrEx>
          <w:tblCellMar>
            <w:top w:w="0" w:type="dxa"/>
            <w:left w:w="108" w:type="dxa"/>
            <w:bottom w:w="0" w:type="dxa"/>
            <w:right w:w="108" w:type="dxa"/>
          </w:tblCellMar>
        </w:tblPrEx>
        <w:trPr>
          <w:trHeight w:val="626" w:hRule="atLeast"/>
        </w:trPr>
        <w:tc>
          <w:tcPr>
            <w:tcW w:w="3654" w:type="dxa"/>
            <w:tcBorders>
              <w:top w:val="single" w:color="auto" w:sz="4" w:space="0"/>
              <w:left w:val="single" w:color="auto" w:sz="4" w:space="0"/>
              <w:bottom w:val="single" w:color="auto" w:sz="4" w:space="0"/>
              <w:right w:val="single" w:color="auto" w:sz="4" w:space="0"/>
            </w:tcBorders>
            <w:shd w:val="clear" w:color="auto" w:fill="auto"/>
            <w:vAlign w:val="center"/>
          </w:tcPr>
          <w:p w14:paraId="6ED9B697">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合  计</w:t>
            </w:r>
          </w:p>
        </w:tc>
        <w:tc>
          <w:tcPr>
            <w:tcW w:w="1635" w:type="dxa"/>
            <w:tcBorders>
              <w:top w:val="single" w:color="auto" w:sz="4" w:space="0"/>
              <w:left w:val="nil"/>
              <w:bottom w:val="single" w:color="auto" w:sz="4" w:space="0"/>
              <w:right w:val="single" w:color="auto" w:sz="4" w:space="0"/>
            </w:tcBorders>
            <w:shd w:val="clear" w:color="auto" w:fill="auto"/>
            <w:vAlign w:val="center"/>
          </w:tcPr>
          <w:p w14:paraId="14C83A6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258533</w:t>
            </w:r>
          </w:p>
        </w:tc>
        <w:tc>
          <w:tcPr>
            <w:tcW w:w="1597" w:type="dxa"/>
            <w:tcBorders>
              <w:top w:val="single" w:color="auto" w:sz="4" w:space="0"/>
              <w:left w:val="nil"/>
              <w:bottom w:val="single" w:color="auto" w:sz="4" w:space="0"/>
              <w:right w:val="single" w:color="auto" w:sz="4" w:space="0"/>
            </w:tcBorders>
            <w:shd w:val="clear" w:color="auto" w:fill="auto"/>
            <w:vAlign w:val="center"/>
          </w:tcPr>
          <w:p w14:paraId="52DFAAE5">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226840</w:t>
            </w:r>
          </w:p>
        </w:tc>
        <w:tc>
          <w:tcPr>
            <w:tcW w:w="1992" w:type="dxa"/>
            <w:tcBorders>
              <w:top w:val="single" w:color="auto" w:sz="4" w:space="0"/>
              <w:left w:val="nil"/>
              <w:bottom w:val="single" w:color="auto" w:sz="4" w:space="0"/>
              <w:right w:val="single" w:color="auto" w:sz="4" w:space="0"/>
            </w:tcBorders>
            <w:shd w:val="clear" w:color="auto" w:fill="auto"/>
            <w:vAlign w:val="center"/>
          </w:tcPr>
          <w:p w14:paraId="315C5926">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87.7%</w:t>
            </w:r>
          </w:p>
        </w:tc>
      </w:tr>
    </w:tbl>
    <w:p w14:paraId="4DAE67CE">
      <w:pPr>
        <w:spacing w:line="600" w:lineRule="exact"/>
        <w:ind w:left="992" w:leftChars="244" w:hanging="480" w:hangingChars="150"/>
        <w:rPr>
          <w:rFonts w:ascii="仿宋" w:hAnsi="仿宋" w:eastAsia="仿宋"/>
          <w:color w:val="000000"/>
          <w:sz w:val="32"/>
          <w:szCs w:val="32"/>
        </w:rPr>
      </w:pPr>
    </w:p>
    <w:p w14:paraId="3C5D7C5E">
      <w:pPr>
        <w:widowControl/>
        <w:jc w:val="left"/>
        <w:rPr>
          <w:rFonts w:ascii="仿宋" w:hAnsi="仿宋" w:eastAsia="仿宋"/>
          <w:color w:val="000000"/>
          <w:sz w:val="32"/>
          <w:szCs w:val="32"/>
        </w:rPr>
      </w:pPr>
      <w:r>
        <w:rPr>
          <w:rFonts w:ascii="仿宋" w:hAnsi="仿宋" w:eastAsia="仿宋"/>
          <w:color w:val="000000"/>
          <w:sz w:val="32"/>
          <w:szCs w:val="32"/>
        </w:rPr>
        <w:br w:type="page"/>
      </w:r>
    </w:p>
    <w:p w14:paraId="0D1B75B6">
      <w:pPr>
        <w:pStyle w:val="48"/>
        <w:keepNext w:val="0"/>
        <w:keepLines w:val="0"/>
        <w:pageBreakBefore w:val="0"/>
        <w:widowControl w:val="0"/>
        <w:kinsoku/>
        <w:wordWrap/>
        <w:overflowPunct/>
        <w:topLinePunct w:val="0"/>
        <w:autoSpaceDE/>
        <w:autoSpaceDN/>
        <w:bidi w:val="0"/>
        <w:adjustRightInd/>
        <w:snapToGrid/>
        <w:spacing w:before="0" w:after="0" w:line="572" w:lineRule="exact"/>
        <w:jc w:val="center"/>
        <w:textAlignment w:val="auto"/>
        <w:outlineLvl w:val="9"/>
        <w:rPr>
          <w:rFonts w:hint="eastAsia"/>
        </w:rPr>
      </w:pPr>
      <w:r>
        <w:rPr>
          <w:rFonts w:hint="eastAsia"/>
        </w:rPr>
        <w:t>关于202</w:t>
      </w:r>
      <w:r>
        <w:rPr>
          <w:rFonts w:hint="eastAsia"/>
          <w:lang w:val="en-US" w:eastAsia="zh-CN"/>
        </w:rPr>
        <w:t>5</w:t>
      </w:r>
      <w:r>
        <w:rPr>
          <w:rFonts w:hint="eastAsia"/>
        </w:rPr>
        <w:t>年政府性基金支出执行情况的说明</w:t>
      </w:r>
    </w:p>
    <w:p w14:paraId="2C0DC56D">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rPr>
      </w:pPr>
    </w:p>
    <w:p w14:paraId="7D18468C">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年全县政府性基金支出</w:t>
      </w:r>
      <w:r>
        <w:rPr>
          <w:rFonts w:hint="eastAsia" w:ascii="仿宋_GB2312" w:hAnsi="仿宋_GB2312" w:eastAsia="仿宋_GB2312" w:cs="仿宋_GB2312"/>
          <w:color w:val="auto"/>
          <w:sz w:val="32"/>
          <w:szCs w:val="32"/>
          <w:lang w:val="en-US" w:eastAsia="zh-CN"/>
        </w:rPr>
        <w:t>调整</w:t>
      </w:r>
      <w:r>
        <w:rPr>
          <w:rFonts w:hint="eastAsia" w:ascii="仿宋_GB2312" w:hAnsi="仿宋_GB2312" w:eastAsia="仿宋_GB2312" w:cs="仿宋_GB2312"/>
          <w:color w:val="auto"/>
          <w:sz w:val="32"/>
          <w:szCs w:val="32"/>
        </w:rPr>
        <w:t>预算合计</w:t>
      </w:r>
      <w:r>
        <w:rPr>
          <w:rFonts w:hint="eastAsia" w:ascii="仿宋_GB2312" w:hAnsi="仿宋_GB2312" w:eastAsia="仿宋_GB2312" w:cs="仿宋_GB2312"/>
          <w:color w:val="auto"/>
          <w:sz w:val="32"/>
          <w:szCs w:val="32"/>
          <w:lang w:val="en-US" w:eastAsia="zh-CN"/>
        </w:rPr>
        <w:t>258533</w:t>
      </w:r>
      <w:r>
        <w:rPr>
          <w:rFonts w:hint="eastAsia" w:ascii="仿宋_GB2312" w:hAnsi="仿宋_GB2312" w:eastAsia="仿宋_GB2312" w:cs="仿宋_GB2312"/>
          <w:color w:val="auto"/>
          <w:sz w:val="32"/>
          <w:szCs w:val="32"/>
        </w:rPr>
        <w:t>万元，实际完成</w:t>
      </w:r>
      <w:r>
        <w:rPr>
          <w:rFonts w:hint="eastAsia" w:ascii="仿宋_GB2312" w:hAnsi="仿宋_GB2312" w:eastAsia="仿宋_GB2312" w:cs="仿宋_GB2312"/>
          <w:color w:val="auto"/>
          <w:sz w:val="32"/>
          <w:szCs w:val="32"/>
          <w:lang w:val="en-US" w:eastAsia="zh-CN"/>
        </w:rPr>
        <w:t>226840</w:t>
      </w:r>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val="en-US" w:eastAsia="zh-CN"/>
        </w:rPr>
        <w:t>调整</w:t>
      </w:r>
      <w:r>
        <w:rPr>
          <w:rFonts w:hint="eastAsia" w:ascii="仿宋_GB2312" w:hAnsi="仿宋_GB2312" w:eastAsia="仿宋_GB2312" w:cs="仿宋_GB2312"/>
          <w:color w:val="auto"/>
          <w:sz w:val="32"/>
          <w:szCs w:val="32"/>
          <w:lang w:eastAsia="zh-CN"/>
        </w:rPr>
        <w:t>预算</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87.7</w:t>
      </w:r>
      <w:r>
        <w:rPr>
          <w:rFonts w:hint="eastAsia" w:ascii="仿宋_GB2312" w:hAnsi="仿宋_GB2312" w:eastAsia="仿宋_GB2312" w:cs="仿宋_GB2312"/>
          <w:color w:val="auto"/>
          <w:sz w:val="32"/>
          <w:szCs w:val="32"/>
        </w:rPr>
        <w:t>%。</w:t>
      </w:r>
    </w:p>
    <w:p w14:paraId="6A140143">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主要执行项目是：</w:t>
      </w:r>
    </w:p>
    <w:p w14:paraId="440F41A2">
      <w:pPr>
        <w:keepNext w:val="0"/>
        <w:keepLines w:val="0"/>
        <w:pageBreakBefore w:val="0"/>
        <w:widowControl w:val="0"/>
        <w:numPr>
          <w:ilvl w:val="0"/>
          <w:numId w:val="3"/>
        </w:numPr>
        <w:kinsoku/>
        <w:wordWrap/>
        <w:overflowPunct/>
        <w:topLinePunct w:val="0"/>
        <w:autoSpaceDE/>
        <w:autoSpaceDN/>
        <w:bidi w:val="0"/>
        <w:adjustRightInd/>
        <w:snapToGrid/>
        <w:spacing w:line="572" w:lineRule="exact"/>
        <w:ind w:left="-1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节能环保支出2630万元，为调整预算的100%；</w:t>
      </w:r>
    </w:p>
    <w:p w14:paraId="7EC3EF11">
      <w:pPr>
        <w:keepNext w:val="0"/>
        <w:keepLines w:val="0"/>
        <w:pageBreakBefore w:val="0"/>
        <w:widowControl w:val="0"/>
        <w:numPr>
          <w:ilvl w:val="0"/>
          <w:numId w:val="3"/>
        </w:numPr>
        <w:kinsoku/>
        <w:wordWrap/>
        <w:overflowPunct/>
        <w:topLinePunct w:val="0"/>
        <w:autoSpaceDE/>
        <w:autoSpaceDN/>
        <w:bidi w:val="0"/>
        <w:adjustRightInd/>
        <w:snapToGrid/>
        <w:spacing w:line="572" w:lineRule="exact"/>
        <w:ind w:left="-1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城乡社区支出</w:t>
      </w:r>
      <w:r>
        <w:rPr>
          <w:rFonts w:hint="eastAsia" w:ascii="仿宋_GB2312" w:hAnsi="仿宋_GB2312" w:eastAsia="仿宋_GB2312" w:cs="仿宋_GB2312"/>
          <w:color w:val="auto"/>
          <w:sz w:val="32"/>
          <w:szCs w:val="32"/>
          <w:lang w:val="en-US" w:eastAsia="zh-CN"/>
        </w:rPr>
        <w:t>166979</w:t>
      </w:r>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val="en-US" w:eastAsia="zh-CN"/>
        </w:rPr>
        <w:t>调整</w:t>
      </w:r>
      <w:r>
        <w:rPr>
          <w:rFonts w:hint="eastAsia" w:ascii="仿宋_GB2312" w:hAnsi="仿宋_GB2312" w:eastAsia="仿宋_GB2312" w:cs="仿宋_GB2312"/>
          <w:color w:val="auto"/>
          <w:sz w:val="32"/>
          <w:szCs w:val="32"/>
          <w:lang w:eastAsia="zh-CN"/>
        </w:rPr>
        <w:t>预算</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84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14:paraId="3DA46C8A">
      <w:pPr>
        <w:keepNext w:val="0"/>
        <w:keepLines w:val="0"/>
        <w:pageBreakBefore w:val="0"/>
        <w:widowControl w:val="0"/>
        <w:numPr>
          <w:ilvl w:val="0"/>
          <w:numId w:val="3"/>
        </w:numPr>
        <w:kinsoku/>
        <w:wordWrap/>
        <w:overflowPunct/>
        <w:topLinePunct w:val="0"/>
        <w:autoSpaceDE/>
        <w:autoSpaceDN/>
        <w:bidi w:val="0"/>
        <w:adjustRightInd/>
        <w:snapToGrid/>
        <w:spacing w:line="572" w:lineRule="exact"/>
        <w:ind w:left="-1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农林水</w:t>
      </w:r>
      <w:r>
        <w:rPr>
          <w:rFonts w:hint="eastAsia" w:ascii="仿宋_GB2312" w:hAnsi="仿宋_GB2312" w:eastAsia="仿宋_GB2312" w:cs="仿宋_GB2312"/>
          <w:color w:val="auto"/>
          <w:sz w:val="32"/>
          <w:szCs w:val="32"/>
        </w:rPr>
        <w:t>支出</w:t>
      </w:r>
      <w:r>
        <w:rPr>
          <w:rFonts w:hint="eastAsia" w:ascii="仿宋_GB2312" w:hAnsi="仿宋_GB2312" w:eastAsia="仿宋_GB2312" w:cs="仿宋_GB2312"/>
          <w:color w:val="auto"/>
          <w:sz w:val="32"/>
          <w:szCs w:val="32"/>
          <w:lang w:val="en-US" w:eastAsia="zh-CN"/>
        </w:rPr>
        <w:t>6147</w:t>
      </w:r>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val="en-US" w:eastAsia="zh-CN"/>
        </w:rPr>
        <w:t>调整</w:t>
      </w:r>
      <w:r>
        <w:rPr>
          <w:rFonts w:hint="eastAsia" w:ascii="仿宋_GB2312" w:hAnsi="仿宋_GB2312" w:eastAsia="仿宋_GB2312" w:cs="仿宋_GB2312"/>
          <w:color w:val="auto"/>
          <w:sz w:val="32"/>
          <w:szCs w:val="32"/>
          <w:lang w:eastAsia="zh-CN"/>
        </w:rPr>
        <w:t>预算</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14:paraId="1B6BE95B">
      <w:pPr>
        <w:keepNext w:val="0"/>
        <w:keepLines w:val="0"/>
        <w:pageBreakBefore w:val="0"/>
        <w:widowControl w:val="0"/>
        <w:numPr>
          <w:ilvl w:val="0"/>
          <w:numId w:val="3"/>
        </w:numPr>
        <w:kinsoku/>
        <w:wordWrap/>
        <w:overflowPunct/>
        <w:topLinePunct w:val="0"/>
        <w:autoSpaceDE/>
        <w:autoSpaceDN/>
        <w:bidi w:val="0"/>
        <w:adjustRightInd/>
        <w:snapToGrid/>
        <w:spacing w:line="572" w:lineRule="exact"/>
        <w:ind w:left="-1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资源勘探工业信息等支出</w:t>
      </w:r>
      <w:r>
        <w:rPr>
          <w:rFonts w:hint="eastAsia" w:ascii="仿宋_GB2312" w:hAnsi="仿宋_GB2312" w:eastAsia="仿宋_GB2312" w:cs="仿宋_GB2312"/>
          <w:color w:val="auto"/>
          <w:sz w:val="32"/>
          <w:szCs w:val="32"/>
          <w:lang w:val="en-US" w:eastAsia="zh-CN"/>
        </w:rPr>
        <w:t>126万元，</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调整</w:t>
      </w:r>
      <w:r>
        <w:rPr>
          <w:rFonts w:hint="eastAsia" w:ascii="仿宋_GB2312" w:hAnsi="仿宋_GB2312" w:eastAsia="仿宋_GB2312" w:cs="仿宋_GB2312"/>
          <w:color w:val="auto"/>
          <w:sz w:val="32"/>
          <w:szCs w:val="32"/>
          <w:lang w:eastAsia="zh-CN"/>
        </w:rPr>
        <w:t>预算</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14:paraId="1E5AA762">
      <w:pPr>
        <w:keepNext w:val="0"/>
        <w:keepLines w:val="0"/>
        <w:pageBreakBefore w:val="0"/>
        <w:widowControl w:val="0"/>
        <w:numPr>
          <w:ilvl w:val="0"/>
          <w:numId w:val="3"/>
        </w:numPr>
        <w:kinsoku/>
        <w:wordWrap/>
        <w:overflowPunct/>
        <w:topLinePunct w:val="0"/>
        <w:autoSpaceDE/>
        <w:autoSpaceDN/>
        <w:bidi w:val="0"/>
        <w:adjustRightInd/>
        <w:snapToGrid/>
        <w:spacing w:line="572" w:lineRule="exact"/>
        <w:ind w:left="-1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其他支出</w:t>
      </w:r>
      <w:r>
        <w:rPr>
          <w:rFonts w:hint="eastAsia" w:ascii="仿宋_GB2312" w:hAnsi="仿宋_GB2312" w:eastAsia="仿宋_GB2312" w:cs="仿宋_GB2312"/>
          <w:color w:val="auto"/>
          <w:sz w:val="32"/>
          <w:szCs w:val="32"/>
          <w:lang w:val="en-US" w:eastAsia="zh-CN"/>
        </w:rPr>
        <w:t>33448</w:t>
      </w:r>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val="en-US" w:eastAsia="zh-CN"/>
        </w:rPr>
        <w:t>调整</w:t>
      </w:r>
      <w:r>
        <w:rPr>
          <w:rFonts w:hint="eastAsia" w:ascii="仿宋_GB2312" w:hAnsi="仿宋_GB2312" w:eastAsia="仿宋_GB2312" w:cs="仿宋_GB2312"/>
          <w:color w:val="auto"/>
          <w:sz w:val="32"/>
          <w:szCs w:val="32"/>
          <w:lang w:eastAsia="zh-CN"/>
        </w:rPr>
        <w:t>预算</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14:paraId="6C8A23EA">
      <w:pPr>
        <w:keepNext w:val="0"/>
        <w:keepLines w:val="0"/>
        <w:pageBreakBefore w:val="0"/>
        <w:widowControl w:val="0"/>
        <w:numPr>
          <w:ilvl w:val="0"/>
          <w:numId w:val="3"/>
        </w:numPr>
        <w:kinsoku/>
        <w:wordWrap/>
        <w:overflowPunct/>
        <w:topLinePunct w:val="0"/>
        <w:autoSpaceDE/>
        <w:autoSpaceDN/>
        <w:bidi w:val="0"/>
        <w:adjustRightInd/>
        <w:snapToGrid/>
        <w:spacing w:line="572" w:lineRule="exact"/>
        <w:ind w:left="-1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债务付息支出</w:t>
      </w:r>
      <w:r>
        <w:rPr>
          <w:rFonts w:hint="eastAsia" w:ascii="仿宋_GB2312" w:hAnsi="仿宋_GB2312" w:eastAsia="仿宋_GB2312" w:cs="仿宋_GB2312"/>
          <w:color w:val="auto"/>
          <w:sz w:val="32"/>
          <w:szCs w:val="32"/>
          <w:lang w:val="en-US" w:eastAsia="zh-CN"/>
        </w:rPr>
        <w:t>17510</w:t>
      </w:r>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val="en-US" w:eastAsia="zh-CN"/>
        </w:rPr>
        <w:t>调整</w:t>
      </w:r>
      <w:r>
        <w:rPr>
          <w:rFonts w:hint="eastAsia" w:ascii="仿宋_GB2312" w:hAnsi="仿宋_GB2312" w:eastAsia="仿宋_GB2312" w:cs="仿宋_GB2312"/>
          <w:color w:val="auto"/>
          <w:sz w:val="32"/>
          <w:szCs w:val="32"/>
          <w:lang w:eastAsia="zh-CN"/>
        </w:rPr>
        <w:t>预算</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14:paraId="1D371CA6">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yellow"/>
        </w:rPr>
      </w:pPr>
    </w:p>
    <w:p w14:paraId="31C7A5CC">
      <w:pPr>
        <w:widowControl/>
        <w:jc w:val="left"/>
        <w:rPr>
          <w:rFonts w:ascii="仿宋" w:hAnsi="仿宋" w:eastAsia="仿宋"/>
          <w:color w:val="000000"/>
          <w:sz w:val="32"/>
          <w:szCs w:val="32"/>
          <w:highlight w:val="yellow"/>
        </w:rPr>
      </w:pPr>
    </w:p>
    <w:p w14:paraId="4430E40D">
      <w:pPr>
        <w:rPr>
          <w:rFonts w:ascii="仿宋" w:hAnsi="仿宋" w:eastAsia="仿宋"/>
          <w:color w:val="000000"/>
          <w:sz w:val="32"/>
          <w:szCs w:val="32"/>
          <w:highlight w:val="yellow"/>
        </w:rPr>
      </w:pPr>
      <w:r>
        <w:rPr>
          <w:rFonts w:ascii="仿宋" w:hAnsi="仿宋" w:eastAsia="仿宋"/>
          <w:color w:val="000000"/>
          <w:sz w:val="32"/>
          <w:szCs w:val="32"/>
          <w:highlight w:val="yellow"/>
        </w:rPr>
        <w:br w:type="page"/>
      </w:r>
    </w:p>
    <w:tbl>
      <w:tblPr>
        <w:tblStyle w:val="20"/>
        <w:tblW w:w="9359" w:type="dxa"/>
        <w:jc w:val="center"/>
        <w:tblLayout w:type="fixed"/>
        <w:tblCellMar>
          <w:top w:w="0" w:type="dxa"/>
          <w:left w:w="108" w:type="dxa"/>
          <w:bottom w:w="0" w:type="dxa"/>
          <w:right w:w="108" w:type="dxa"/>
        </w:tblCellMar>
      </w:tblPr>
      <w:tblGrid>
        <w:gridCol w:w="3257"/>
        <w:gridCol w:w="1462"/>
        <w:gridCol w:w="3149"/>
        <w:gridCol w:w="1489"/>
        <w:gridCol w:w="2"/>
      </w:tblGrid>
      <w:tr w14:paraId="05A9159E">
        <w:tblPrEx>
          <w:tblCellMar>
            <w:top w:w="0" w:type="dxa"/>
            <w:left w:w="108" w:type="dxa"/>
            <w:bottom w:w="0" w:type="dxa"/>
            <w:right w:w="108" w:type="dxa"/>
          </w:tblCellMar>
        </w:tblPrEx>
        <w:trPr>
          <w:gridAfter w:val="4"/>
          <w:wAfter w:w="6102" w:type="dxa"/>
          <w:trHeight w:val="672" w:hRule="atLeast"/>
          <w:jc w:val="center"/>
        </w:trPr>
        <w:tc>
          <w:tcPr>
            <w:tcW w:w="3257" w:type="dxa"/>
            <w:tcBorders>
              <w:top w:val="nil"/>
              <w:left w:val="nil"/>
              <w:bottom w:val="nil"/>
              <w:right w:val="nil"/>
            </w:tcBorders>
            <w:shd w:val="clear" w:color="auto" w:fill="auto"/>
            <w:vAlign w:val="center"/>
          </w:tcPr>
          <w:p w14:paraId="5C341D67">
            <w:pPr>
              <w:widowControl/>
              <w:jc w:val="left"/>
              <w:rPr>
                <w:rFonts w:hint="eastAsia" w:ascii="宋体" w:hAnsi="宋体" w:eastAsia="宋体" w:cs="宋体"/>
                <w:kern w:val="0"/>
                <w:sz w:val="24"/>
                <w:szCs w:val="24"/>
              </w:rPr>
            </w:pPr>
            <w:bookmarkStart w:id="5" w:name="_Toc63764864"/>
            <w:r>
              <w:rPr>
                <w:rFonts w:hint="eastAsia" w:ascii="黑体" w:hAnsi="黑体" w:eastAsia="黑体" w:cs="黑体"/>
                <w:kern w:val="0"/>
                <w:sz w:val="32"/>
                <w:szCs w:val="32"/>
              </w:rPr>
              <w:t>表七</w:t>
            </w:r>
          </w:p>
        </w:tc>
      </w:tr>
      <w:tr w14:paraId="7D30B093">
        <w:tblPrEx>
          <w:tblCellMar>
            <w:top w:w="0" w:type="dxa"/>
            <w:left w:w="108" w:type="dxa"/>
            <w:bottom w:w="0" w:type="dxa"/>
            <w:right w:w="108" w:type="dxa"/>
          </w:tblCellMar>
        </w:tblPrEx>
        <w:trPr>
          <w:trHeight w:val="1164" w:hRule="atLeast"/>
          <w:jc w:val="center"/>
        </w:trPr>
        <w:tc>
          <w:tcPr>
            <w:tcW w:w="9359" w:type="dxa"/>
            <w:gridSpan w:val="5"/>
            <w:tcBorders>
              <w:top w:val="nil"/>
              <w:left w:val="nil"/>
              <w:bottom w:val="nil"/>
              <w:right w:val="nil"/>
            </w:tcBorders>
            <w:shd w:val="clear" w:color="auto" w:fill="auto"/>
            <w:vAlign w:val="center"/>
          </w:tcPr>
          <w:p w14:paraId="7A692470">
            <w:pPr>
              <w:pStyle w:val="48"/>
              <w:rPr>
                <w:rFonts w:hint="eastAsia" w:ascii="宋体" w:hAnsi="宋体" w:eastAsia="宋体" w:cs="宋体"/>
                <w:sz w:val="24"/>
                <w:szCs w:val="24"/>
                <w:highlight w:val="none"/>
              </w:rPr>
            </w:pPr>
            <w:r>
              <w:rPr>
                <w:rFonts w:hint="eastAsia" w:hAnsi="方正小标宋简体" w:cs="方正小标宋简体"/>
                <w:sz w:val="44"/>
                <w:szCs w:val="44"/>
                <w:highlight w:val="none"/>
                <w:lang w:val="en-US" w:eastAsia="zh-CN"/>
              </w:rPr>
              <w:t>2026</w:t>
            </w:r>
            <w:r>
              <w:rPr>
                <w:rFonts w:hint="eastAsia" w:ascii="方正小标宋简体" w:hAnsi="方正小标宋简体" w:eastAsia="方正小标宋简体" w:cs="方正小标宋简体"/>
                <w:sz w:val="44"/>
                <w:szCs w:val="44"/>
                <w:highlight w:val="none"/>
              </w:rPr>
              <w:t>年一般公共预算收支预算总表</w:t>
            </w:r>
          </w:p>
        </w:tc>
      </w:tr>
      <w:tr w14:paraId="5DC3A5C2">
        <w:tblPrEx>
          <w:tblCellMar>
            <w:top w:w="0" w:type="dxa"/>
            <w:left w:w="108" w:type="dxa"/>
            <w:bottom w:w="0" w:type="dxa"/>
            <w:right w:w="108" w:type="dxa"/>
          </w:tblCellMar>
        </w:tblPrEx>
        <w:trPr>
          <w:trHeight w:val="576" w:hRule="atLeast"/>
          <w:jc w:val="center"/>
        </w:trPr>
        <w:tc>
          <w:tcPr>
            <w:tcW w:w="9359" w:type="dxa"/>
            <w:gridSpan w:val="5"/>
            <w:tcBorders>
              <w:top w:val="nil"/>
              <w:left w:val="nil"/>
              <w:bottom w:val="nil"/>
              <w:right w:val="nil"/>
            </w:tcBorders>
            <w:shd w:val="clear" w:color="auto" w:fill="auto"/>
            <w:vAlign w:val="center"/>
          </w:tcPr>
          <w:p w14:paraId="5CDD2727">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单位：万元</w:t>
            </w:r>
          </w:p>
        </w:tc>
      </w:tr>
      <w:tr w14:paraId="528003D3">
        <w:tblPrEx>
          <w:tblCellMar>
            <w:top w:w="0" w:type="dxa"/>
            <w:left w:w="108" w:type="dxa"/>
            <w:bottom w:w="0" w:type="dxa"/>
            <w:right w:w="108" w:type="dxa"/>
          </w:tblCellMar>
        </w:tblPrEx>
        <w:trPr>
          <w:gridAfter w:val="1"/>
          <w:wAfter w:w="2" w:type="dxa"/>
          <w:trHeight w:val="673" w:hRule="atLeast"/>
          <w:jc w:val="center"/>
        </w:trPr>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271C76D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项  目</w:t>
            </w:r>
          </w:p>
        </w:tc>
        <w:tc>
          <w:tcPr>
            <w:tcW w:w="1462" w:type="dxa"/>
            <w:tcBorders>
              <w:top w:val="single" w:color="auto" w:sz="4" w:space="0"/>
              <w:left w:val="nil"/>
              <w:bottom w:val="single" w:color="auto" w:sz="4" w:space="0"/>
              <w:right w:val="single" w:color="auto" w:sz="4" w:space="0"/>
            </w:tcBorders>
            <w:shd w:val="clear" w:color="auto" w:fill="auto"/>
            <w:vAlign w:val="center"/>
          </w:tcPr>
          <w:p w14:paraId="1443CE6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收入预算数</w:t>
            </w:r>
          </w:p>
        </w:tc>
        <w:tc>
          <w:tcPr>
            <w:tcW w:w="3149" w:type="dxa"/>
            <w:tcBorders>
              <w:top w:val="single" w:color="auto" w:sz="4" w:space="0"/>
              <w:left w:val="nil"/>
              <w:bottom w:val="single" w:color="auto" w:sz="4" w:space="0"/>
              <w:right w:val="single" w:color="auto" w:sz="4" w:space="0"/>
            </w:tcBorders>
            <w:shd w:val="clear" w:color="auto" w:fill="auto"/>
            <w:vAlign w:val="center"/>
          </w:tcPr>
          <w:p w14:paraId="0155D39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项  目</w:t>
            </w:r>
          </w:p>
        </w:tc>
        <w:tc>
          <w:tcPr>
            <w:tcW w:w="1489" w:type="dxa"/>
            <w:tcBorders>
              <w:top w:val="single" w:color="auto" w:sz="4" w:space="0"/>
              <w:left w:val="nil"/>
              <w:bottom w:val="single" w:color="auto" w:sz="4" w:space="0"/>
              <w:right w:val="single" w:color="auto" w:sz="4" w:space="0"/>
            </w:tcBorders>
            <w:shd w:val="clear" w:color="auto" w:fill="auto"/>
            <w:vAlign w:val="center"/>
          </w:tcPr>
          <w:p w14:paraId="221ADAC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支出预算数</w:t>
            </w:r>
          </w:p>
        </w:tc>
      </w:tr>
      <w:tr w14:paraId="224D75C4">
        <w:tblPrEx>
          <w:tblCellMar>
            <w:top w:w="0" w:type="dxa"/>
            <w:left w:w="108" w:type="dxa"/>
            <w:bottom w:w="0" w:type="dxa"/>
            <w:right w:w="108" w:type="dxa"/>
          </w:tblCellMar>
        </w:tblPrEx>
        <w:trPr>
          <w:gridAfter w:val="1"/>
          <w:wAfter w:w="2" w:type="dxa"/>
          <w:trHeight w:val="673" w:hRule="atLeast"/>
          <w:jc w:val="center"/>
        </w:trPr>
        <w:tc>
          <w:tcPr>
            <w:tcW w:w="3257" w:type="dxa"/>
            <w:tcBorders>
              <w:top w:val="nil"/>
              <w:left w:val="single" w:color="auto" w:sz="4" w:space="0"/>
              <w:bottom w:val="single" w:color="auto" w:sz="4" w:space="0"/>
              <w:right w:val="single" w:color="auto" w:sz="4" w:space="0"/>
            </w:tcBorders>
            <w:shd w:val="clear" w:color="auto" w:fill="auto"/>
            <w:vAlign w:val="center"/>
          </w:tcPr>
          <w:p w14:paraId="63771B1D">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本级收入</w:t>
            </w:r>
          </w:p>
        </w:tc>
        <w:tc>
          <w:tcPr>
            <w:tcW w:w="1462" w:type="dxa"/>
            <w:tcBorders>
              <w:top w:val="nil"/>
              <w:left w:val="nil"/>
              <w:bottom w:val="single" w:color="auto" w:sz="4" w:space="0"/>
              <w:right w:val="single" w:color="auto" w:sz="4" w:space="0"/>
            </w:tcBorders>
            <w:shd w:val="clear" w:color="auto" w:fill="auto"/>
            <w:vAlign w:val="center"/>
          </w:tcPr>
          <w:p w14:paraId="16C8677D">
            <w:pPr>
              <w:widowControl/>
              <w:jc w:val="center"/>
              <w:textAlignment w:val="bottom"/>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178100</w:t>
            </w:r>
          </w:p>
        </w:tc>
        <w:tc>
          <w:tcPr>
            <w:tcW w:w="3149" w:type="dxa"/>
            <w:tcBorders>
              <w:top w:val="nil"/>
              <w:left w:val="nil"/>
              <w:bottom w:val="single" w:color="auto" w:sz="4" w:space="0"/>
              <w:right w:val="single" w:color="auto" w:sz="4" w:space="0"/>
            </w:tcBorders>
            <w:shd w:val="clear" w:color="auto" w:fill="auto"/>
            <w:vAlign w:val="center"/>
          </w:tcPr>
          <w:p w14:paraId="2C6F82FC">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本级支出</w:t>
            </w:r>
          </w:p>
        </w:tc>
        <w:tc>
          <w:tcPr>
            <w:tcW w:w="1489" w:type="dxa"/>
            <w:tcBorders>
              <w:top w:val="nil"/>
              <w:left w:val="nil"/>
              <w:bottom w:val="single" w:color="auto" w:sz="4" w:space="0"/>
              <w:right w:val="single" w:color="auto" w:sz="4" w:space="0"/>
            </w:tcBorders>
            <w:shd w:val="clear" w:color="auto" w:fill="auto"/>
            <w:vAlign w:val="center"/>
          </w:tcPr>
          <w:p w14:paraId="2150B5EB">
            <w:pPr>
              <w:keepNext w:val="0"/>
              <w:keepLines w:val="0"/>
              <w:widowControl/>
              <w:suppressLineNumbers w:val="0"/>
              <w:jc w:val="center"/>
              <w:textAlignment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370982</w:t>
            </w:r>
          </w:p>
        </w:tc>
      </w:tr>
      <w:tr w14:paraId="6DE34040">
        <w:tblPrEx>
          <w:tblCellMar>
            <w:top w:w="0" w:type="dxa"/>
            <w:left w:w="108" w:type="dxa"/>
            <w:bottom w:w="0" w:type="dxa"/>
            <w:right w:w="108" w:type="dxa"/>
          </w:tblCellMar>
        </w:tblPrEx>
        <w:trPr>
          <w:gridAfter w:val="1"/>
          <w:wAfter w:w="2" w:type="dxa"/>
          <w:trHeight w:val="673" w:hRule="atLeast"/>
          <w:jc w:val="center"/>
        </w:trPr>
        <w:tc>
          <w:tcPr>
            <w:tcW w:w="3257" w:type="dxa"/>
            <w:tcBorders>
              <w:top w:val="nil"/>
              <w:left w:val="single" w:color="auto" w:sz="4" w:space="0"/>
              <w:bottom w:val="single" w:color="auto" w:sz="4" w:space="0"/>
              <w:right w:val="single" w:color="auto" w:sz="4" w:space="0"/>
            </w:tcBorders>
            <w:shd w:val="clear" w:color="auto" w:fill="auto"/>
            <w:vAlign w:val="center"/>
          </w:tcPr>
          <w:p w14:paraId="0B8ED90D">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上级补助收入</w:t>
            </w:r>
          </w:p>
        </w:tc>
        <w:tc>
          <w:tcPr>
            <w:tcW w:w="1462" w:type="dxa"/>
            <w:tcBorders>
              <w:top w:val="nil"/>
              <w:left w:val="nil"/>
              <w:bottom w:val="single" w:color="auto" w:sz="4" w:space="0"/>
              <w:right w:val="single" w:color="auto" w:sz="4" w:space="0"/>
            </w:tcBorders>
            <w:shd w:val="clear" w:color="auto" w:fill="auto"/>
            <w:vAlign w:val="center"/>
          </w:tcPr>
          <w:p w14:paraId="210A5A9E">
            <w:pPr>
              <w:keepNext w:val="0"/>
              <w:keepLines w:val="0"/>
              <w:widowControl/>
              <w:suppressLineNumbers w:val="0"/>
              <w:jc w:val="center"/>
              <w:textAlignment w:val="center"/>
              <w:rPr>
                <w:rFonts w:hint="default"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kern w:val="0"/>
                <w:sz w:val="24"/>
                <w:szCs w:val="24"/>
                <w:highlight w:val="none"/>
                <w:lang w:val="en-US" w:eastAsia="zh-CN"/>
              </w:rPr>
              <w:t>235907</w:t>
            </w:r>
          </w:p>
        </w:tc>
        <w:tc>
          <w:tcPr>
            <w:tcW w:w="3149" w:type="dxa"/>
            <w:tcBorders>
              <w:top w:val="nil"/>
              <w:left w:val="nil"/>
              <w:bottom w:val="single" w:color="auto" w:sz="4" w:space="0"/>
              <w:right w:val="single" w:color="auto" w:sz="4" w:space="0"/>
            </w:tcBorders>
            <w:shd w:val="clear" w:color="auto" w:fill="auto"/>
            <w:vAlign w:val="center"/>
          </w:tcPr>
          <w:p w14:paraId="728A370E">
            <w:pPr>
              <w:widowControl/>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上解</w:t>
            </w:r>
            <w:r>
              <w:rPr>
                <w:rFonts w:hint="eastAsia" w:ascii="宋体" w:hAnsi="宋体" w:eastAsia="宋体" w:cs="宋体"/>
                <w:kern w:val="0"/>
                <w:sz w:val="24"/>
                <w:szCs w:val="24"/>
                <w:highlight w:val="none"/>
                <w:lang w:eastAsia="zh-CN"/>
              </w:rPr>
              <w:t>支出</w:t>
            </w:r>
          </w:p>
        </w:tc>
        <w:tc>
          <w:tcPr>
            <w:tcW w:w="1489" w:type="dxa"/>
            <w:tcBorders>
              <w:top w:val="nil"/>
              <w:left w:val="nil"/>
              <w:bottom w:val="single" w:color="auto" w:sz="4" w:space="0"/>
              <w:right w:val="single" w:color="auto" w:sz="4" w:space="0"/>
            </w:tcBorders>
            <w:shd w:val="clear" w:color="auto" w:fill="auto"/>
            <w:vAlign w:val="center"/>
          </w:tcPr>
          <w:p w14:paraId="67FF09B5">
            <w:pPr>
              <w:keepNext w:val="0"/>
              <w:keepLines w:val="0"/>
              <w:widowControl/>
              <w:suppressLineNumbers w:val="0"/>
              <w:jc w:val="center"/>
              <w:textAlignment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40600</w:t>
            </w:r>
          </w:p>
        </w:tc>
      </w:tr>
      <w:tr w14:paraId="149B824C">
        <w:tblPrEx>
          <w:tblCellMar>
            <w:top w:w="0" w:type="dxa"/>
            <w:left w:w="108" w:type="dxa"/>
            <w:bottom w:w="0" w:type="dxa"/>
            <w:right w:w="108" w:type="dxa"/>
          </w:tblCellMar>
        </w:tblPrEx>
        <w:trPr>
          <w:gridAfter w:val="1"/>
          <w:wAfter w:w="2" w:type="dxa"/>
          <w:trHeight w:val="673" w:hRule="atLeast"/>
          <w:jc w:val="center"/>
        </w:trPr>
        <w:tc>
          <w:tcPr>
            <w:tcW w:w="3257" w:type="dxa"/>
            <w:tcBorders>
              <w:top w:val="nil"/>
              <w:left w:val="single" w:color="auto" w:sz="4" w:space="0"/>
              <w:bottom w:val="single" w:color="auto" w:sz="4" w:space="0"/>
              <w:right w:val="single" w:color="auto" w:sz="4" w:space="0"/>
            </w:tcBorders>
            <w:shd w:val="clear" w:color="auto" w:fill="auto"/>
            <w:vAlign w:val="center"/>
          </w:tcPr>
          <w:p w14:paraId="6A0A2F75">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返还性收入</w:t>
            </w:r>
          </w:p>
        </w:tc>
        <w:tc>
          <w:tcPr>
            <w:tcW w:w="1462" w:type="dxa"/>
            <w:tcBorders>
              <w:top w:val="nil"/>
              <w:left w:val="nil"/>
              <w:bottom w:val="single" w:color="auto" w:sz="4" w:space="0"/>
              <w:right w:val="single" w:color="auto" w:sz="4" w:space="0"/>
            </w:tcBorders>
            <w:shd w:val="clear" w:color="auto" w:fill="auto"/>
            <w:vAlign w:val="center"/>
          </w:tcPr>
          <w:p w14:paraId="66AFA003">
            <w:pPr>
              <w:widowControl/>
              <w:jc w:val="center"/>
              <w:textAlignment w:val="bottom"/>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5910</w:t>
            </w:r>
          </w:p>
        </w:tc>
        <w:tc>
          <w:tcPr>
            <w:tcW w:w="3149" w:type="dxa"/>
            <w:tcBorders>
              <w:top w:val="nil"/>
              <w:left w:val="nil"/>
              <w:bottom w:val="single" w:color="auto" w:sz="4" w:space="0"/>
              <w:right w:val="single" w:color="auto" w:sz="4" w:space="0"/>
            </w:tcBorders>
            <w:shd w:val="clear" w:color="auto" w:fill="auto"/>
            <w:vAlign w:val="center"/>
          </w:tcPr>
          <w:p w14:paraId="02FCA062">
            <w:pPr>
              <w:widowControl/>
              <w:jc w:val="left"/>
              <w:rPr>
                <w:rFonts w:hint="eastAsia" w:ascii="宋体" w:hAnsi="宋体" w:eastAsia="宋体" w:cs="宋体"/>
                <w:kern w:val="0"/>
                <w:sz w:val="24"/>
                <w:szCs w:val="24"/>
                <w:highlight w:val="none"/>
                <w:lang w:eastAsia="zh-CN"/>
              </w:rPr>
            </w:pPr>
          </w:p>
        </w:tc>
        <w:tc>
          <w:tcPr>
            <w:tcW w:w="1489" w:type="dxa"/>
            <w:tcBorders>
              <w:top w:val="nil"/>
              <w:left w:val="nil"/>
              <w:bottom w:val="single" w:color="auto" w:sz="4" w:space="0"/>
              <w:right w:val="single" w:color="auto" w:sz="4" w:space="0"/>
            </w:tcBorders>
            <w:shd w:val="clear" w:color="auto" w:fill="auto"/>
            <w:vAlign w:val="center"/>
          </w:tcPr>
          <w:p w14:paraId="5FDA1334">
            <w:pPr>
              <w:keepNext w:val="0"/>
              <w:keepLines w:val="0"/>
              <w:widowControl/>
              <w:suppressLineNumbers w:val="0"/>
              <w:jc w:val="center"/>
              <w:textAlignment w:val="center"/>
              <w:rPr>
                <w:rFonts w:hint="default" w:ascii="宋体" w:hAnsi="宋体" w:eastAsia="宋体" w:cs="宋体"/>
                <w:kern w:val="0"/>
                <w:sz w:val="24"/>
                <w:szCs w:val="24"/>
                <w:highlight w:val="none"/>
                <w:lang w:val="en-US" w:eastAsia="zh-CN"/>
              </w:rPr>
            </w:pPr>
          </w:p>
        </w:tc>
      </w:tr>
      <w:tr w14:paraId="3FA1A299">
        <w:tblPrEx>
          <w:tblCellMar>
            <w:top w:w="0" w:type="dxa"/>
            <w:left w:w="108" w:type="dxa"/>
            <w:bottom w:w="0" w:type="dxa"/>
            <w:right w:w="108" w:type="dxa"/>
          </w:tblCellMar>
        </w:tblPrEx>
        <w:trPr>
          <w:gridAfter w:val="1"/>
          <w:wAfter w:w="2" w:type="dxa"/>
          <w:trHeight w:val="673" w:hRule="atLeast"/>
          <w:jc w:val="center"/>
        </w:trPr>
        <w:tc>
          <w:tcPr>
            <w:tcW w:w="3257" w:type="dxa"/>
            <w:tcBorders>
              <w:top w:val="nil"/>
              <w:left w:val="single" w:color="auto" w:sz="4" w:space="0"/>
              <w:bottom w:val="single" w:color="auto" w:sz="4" w:space="0"/>
              <w:right w:val="single" w:color="auto" w:sz="4" w:space="0"/>
            </w:tcBorders>
            <w:shd w:val="clear" w:color="auto" w:fill="auto"/>
            <w:vAlign w:val="center"/>
          </w:tcPr>
          <w:p w14:paraId="7CCD979C">
            <w:pPr>
              <w:widowControl/>
              <w:jc w:val="left"/>
              <w:rPr>
                <w:rFonts w:hint="eastAsia" w:ascii="宋体" w:hAnsi="宋体" w:eastAsia="宋体" w:cs="宋体"/>
                <w:kern w:val="0"/>
                <w:sz w:val="24"/>
                <w:szCs w:val="24"/>
                <w:highlight w:val="yellow"/>
              </w:rPr>
            </w:pPr>
            <w:r>
              <w:rPr>
                <w:rFonts w:hint="eastAsia" w:ascii="宋体" w:hAnsi="宋体" w:eastAsia="宋体" w:cs="宋体"/>
                <w:kern w:val="0"/>
                <w:sz w:val="24"/>
                <w:szCs w:val="24"/>
                <w:highlight w:val="none"/>
              </w:rPr>
              <w:t xml:space="preserve">  一般性转移支付收入</w:t>
            </w:r>
          </w:p>
        </w:tc>
        <w:tc>
          <w:tcPr>
            <w:tcW w:w="1462" w:type="dxa"/>
            <w:tcBorders>
              <w:top w:val="nil"/>
              <w:left w:val="nil"/>
              <w:bottom w:val="single" w:color="auto" w:sz="4" w:space="0"/>
              <w:right w:val="single" w:color="auto" w:sz="4" w:space="0"/>
            </w:tcBorders>
            <w:shd w:val="clear" w:color="auto" w:fill="auto"/>
            <w:vAlign w:val="center"/>
          </w:tcPr>
          <w:p w14:paraId="76993664">
            <w:pPr>
              <w:widowControl/>
              <w:jc w:val="center"/>
              <w:textAlignment w:val="bottom"/>
              <w:rPr>
                <w:rFonts w:hint="default" w:ascii="宋体" w:hAnsi="宋体" w:eastAsia="宋体" w:cs="宋体"/>
                <w:kern w:val="0"/>
                <w:sz w:val="24"/>
                <w:szCs w:val="24"/>
                <w:highlight w:val="yellow"/>
                <w:lang w:val="en-US" w:eastAsia="zh-CN"/>
              </w:rPr>
            </w:pPr>
            <w:r>
              <w:rPr>
                <w:rFonts w:hint="eastAsia" w:ascii="宋体" w:hAnsi="宋体" w:eastAsia="宋体" w:cs="宋体"/>
                <w:kern w:val="0"/>
                <w:sz w:val="24"/>
                <w:szCs w:val="24"/>
                <w:highlight w:val="none"/>
                <w:lang w:val="en-US" w:eastAsia="zh-CN"/>
              </w:rPr>
              <w:t>222812</w:t>
            </w:r>
          </w:p>
        </w:tc>
        <w:tc>
          <w:tcPr>
            <w:tcW w:w="3149" w:type="dxa"/>
            <w:tcBorders>
              <w:top w:val="nil"/>
              <w:left w:val="nil"/>
              <w:bottom w:val="single" w:color="auto" w:sz="4" w:space="0"/>
              <w:right w:val="single" w:color="auto" w:sz="4" w:space="0"/>
            </w:tcBorders>
            <w:shd w:val="clear" w:color="auto" w:fill="auto"/>
            <w:vAlign w:val="center"/>
          </w:tcPr>
          <w:p w14:paraId="68337055">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489" w:type="dxa"/>
            <w:tcBorders>
              <w:top w:val="nil"/>
              <w:left w:val="nil"/>
              <w:bottom w:val="single" w:color="auto" w:sz="4" w:space="0"/>
              <w:right w:val="single" w:color="auto" w:sz="4" w:space="0"/>
            </w:tcBorders>
            <w:shd w:val="clear" w:color="auto" w:fill="auto"/>
            <w:vAlign w:val="center"/>
          </w:tcPr>
          <w:p w14:paraId="53AB4786">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p>
        </w:tc>
      </w:tr>
      <w:tr w14:paraId="3A65F40D">
        <w:tblPrEx>
          <w:tblCellMar>
            <w:top w:w="0" w:type="dxa"/>
            <w:left w:w="108" w:type="dxa"/>
            <w:bottom w:w="0" w:type="dxa"/>
            <w:right w:w="108" w:type="dxa"/>
          </w:tblCellMar>
        </w:tblPrEx>
        <w:trPr>
          <w:gridAfter w:val="1"/>
          <w:wAfter w:w="2" w:type="dxa"/>
          <w:trHeight w:val="673" w:hRule="atLeast"/>
          <w:jc w:val="center"/>
        </w:trPr>
        <w:tc>
          <w:tcPr>
            <w:tcW w:w="3257" w:type="dxa"/>
            <w:tcBorders>
              <w:top w:val="nil"/>
              <w:left w:val="single" w:color="auto" w:sz="4" w:space="0"/>
              <w:bottom w:val="single" w:color="auto" w:sz="4" w:space="0"/>
              <w:right w:val="single" w:color="auto" w:sz="4" w:space="0"/>
            </w:tcBorders>
            <w:shd w:val="clear" w:color="auto" w:fill="auto"/>
            <w:vAlign w:val="center"/>
          </w:tcPr>
          <w:p w14:paraId="420B702C">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专项转移支付收入</w:t>
            </w:r>
          </w:p>
        </w:tc>
        <w:tc>
          <w:tcPr>
            <w:tcW w:w="1462" w:type="dxa"/>
            <w:tcBorders>
              <w:top w:val="nil"/>
              <w:left w:val="nil"/>
              <w:bottom w:val="single" w:color="auto" w:sz="4" w:space="0"/>
              <w:right w:val="single" w:color="auto" w:sz="4" w:space="0"/>
            </w:tcBorders>
            <w:shd w:val="clear" w:color="auto" w:fill="auto"/>
            <w:vAlign w:val="center"/>
          </w:tcPr>
          <w:p w14:paraId="33C9063A">
            <w:pPr>
              <w:widowControl/>
              <w:jc w:val="center"/>
              <w:textAlignment w:val="bottom"/>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7185</w:t>
            </w:r>
          </w:p>
        </w:tc>
        <w:tc>
          <w:tcPr>
            <w:tcW w:w="3149" w:type="dxa"/>
            <w:tcBorders>
              <w:top w:val="nil"/>
              <w:left w:val="nil"/>
              <w:bottom w:val="single" w:color="auto" w:sz="4" w:space="0"/>
              <w:right w:val="single" w:color="auto" w:sz="4" w:space="0"/>
            </w:tcBorders>
            <w:shd w:val="clear" w:color="auto" w:fill="auto"/>
            <w:vAlign w:val="center"/>
          </w:tcPr>
          <w:p w14:paraId="24634A00">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489" w:type="dxa"/>
            <w:tcBorders>
              <w:top w:val="nil"/>
              <w:left w:val="nil"/>
              <w:bottom w:val="single" w:color="auto" w:sz="4" w:space="0"/>
              <w:right w:val="single" w:color="auto" w:sz="4" w:space="0"/>
            </w:tcBorders>
            <w:shd w:val="clear" w:color="auto" w:fill="auto"/>
            <w:vAlign w:val="center"/>
          </w:tcPr>
          <w:p w14:paraId="4F56BFE5">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p>
        </w:tc>
      </w:tr>
      <w:tr w14:paraId="499D5B10">
        <w:tblPrEx>
          <w:tblCellMar>
            <w:top w:w="0" w:type="dxa"/>
            <w:left w:w="108" w:type="dxa"/>
            <w:bottom w:w="0" w:type="dxa"/>
            <w:right w:w="108" w:type="dxa"/>
          </w:tblCellMar>
        </w:tblPrEx>
        <w:trPr>
          <w:gridAfter w:val="1"/>
          <w:wAfter w:w="2" w:type="dxa"/>
          <w:trHeight w:val="673" w:hRule="atLeast"/>
          <w:jc w:val="center"/>
        </w:trPr>
        <w:tc>
          <w:tcPr>
            <w:tcW w:w="3257" w:type="dxa"/>
            <w:tcBorders>
              <w:top w:val="nil"/>
              <w:left w:val="single" w:color="auto" w:sz="4" w:space="0"/>
              <w:bottom w:val="single" w:color="auto" w:sz="4" w:space="0"/>
              <w:right w:val="single" w:color="auto" w:sz="4" w:space="0"/>
            </w:tcBorders>
            <w:shd w:val="clear" w:color="auto" w:fill="auto"/>
            <w:vAlign w:val="center"/>
          </w:tcPr>
          <w:p w14:paraId="4C888770">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上年结余收入</w:t>
            </w:r>
          </w:p>
        </w:tc>
        <w:tc>
          <w:tcPr>
            <w:tcW w:w="1462" w:type="dxa"/>
            <w:tcBorders>
              <w:top w:val="nil"/>
              <w:left w:val="nil"/>
              <w:bottom w:val="single" w:color="auto" w:sz="4" w:space="0"/>
              <w:right w:val="single" w:color="auto" w:sz="4" w:space="0"/>
            </w:tcBorders>
            <w:shd w:val="clear" w:color="auto" w:fill="auto"/>
            <w:vAlign w:val="center"/>
          </w:tcPr>
          <w:p w14:paraId="5EEED336">
            <w:pPr>
              <w:widowControl/>
              <w:jc w:val="center"/>
              <w:textAlignment w:val="bottom"/>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506</w:t>
            </w:r>
          </w:p>
        </w:tc>
        <w:tc>
          <w:tcPr>
            <w:tcW w:w="3149" w:type="dxa"/>
            <w:tcBorders>
              <w:top w:val="nil"/>
              <w:left w:val="nil"/>
              <w:bottom w:val="single" w:color="auto" w:sz="4" w:space="0"/>
              <w:right w:val="single" w:color="auto" w:sz="4" w:space="0"/>
            </w:tcBorders>
            <w:shd w:val="clear" w:color="auto" w:fill="auto"/>
            <w:vAlign w:val="center"/>
          </w:tcPr>
          <w:p w14:paraId="645010F9">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地方政府一般债务还本支出</w:t>
            </w:r>
          </w:p>
        </w:tc>
        <w:tc>
          <w:tcPr>
            <w:tcW w:w="1489" w:type="dxa"/>
            <w:tcBorders>
              <w:top w:val="nil"/>
              <w:left w:val="nil"/>
              <w:bottom w:val="single" w:color="auto" w:sz="4" w:space="0"/>
              <w:right w:val="single" w:color="auto" w:sz="4" w:space="0"/>
            </w:tcBorders>
            <w:shd w:val="clear" w:color="auto" w:fill="auto"/>
            <w:vAlign w:val="center"/>
          </w:tcPr>
          <w:p w14:paraId="770CCE51">
            <w:pPr>
              <w:keepNext w:val="0"/>
              <w:keepLines w:val="0"/>
              <w:widowControl/>
              <w:suppressLineNumbers w:val="0"/>
              <w:jc w:val="center"/>
              <w:textAlignment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2931</w:t>
            </w:r>
          </w:p>
        </w:tc>
      </w:tr>
      <w:tr w14:paraId="1BF25C5A">
        <w:tblPrEx>
          <w:tblCellMar>
            <w:top w:w="0" w:type="dxa"/>
            <w:left w:w="108" w:type="dxa"/>
            <w:bottom w:w="0" w:type="dxa"/>
            <w:right w:w="108" w:type="dxa"/>
          </w:tblCellMar>
        </w:tblPrEx>
        <w:trPr>
          <w:gridAfter w:val="1"/>
          <w:wAfter w:w="2" w:type="dxa"/>
          <w:trHeight w:val="673" w:hRule="atLeast"/>
          <w:jc w:val="center"/>
        </w:trPr>
        <w:tc>
          <w:tcPr>
            <w:tcW w:w="3257" w:type="dxa"/>
            <w:tcBorders>
              <w:top w:val="nil"/>
              <w:left w:val="single" w:color="auto" w:sz="4" w:space="0"/>
              <w:bottom w:val="single" w:color="auto" w:sz="4" w:space="0"/>
              <w:right w:val="single" w:color="auto" w:sz="4" w:space="0"/>
            </w:tcBorders>
            <w:shd w:val="clear" w:color="auto" w:fill="auto"/>
            <w:vAlign w:val="center"/>
          </w:tcPr>
          <w:p w14:paraId="1D25A6EB">
            <w:pPr>
              <w:widowControl/>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动用</w:t>
            </w:r>
            <w:r>
              <w:rPr>
                <w:rFonts w:hint="eastAsia" w:ascii="宋体" w:hAnsi="宋体" w:eastAsia="宋体" w:cs="宋体"/>
                <w:kern w:val="0"/>
                <w:sz w:val="24"/>
                <w:szCs w:val="24"/>
              </w:rPr>
              <w:t>预算稳定调节基金</w:t>
            </w:r>
          </w:p>
        </w:tc>
        <w:tc>
          <w:tcPr>
            <w:tcW w:w="1462" w:type="dxa"/>
            <w:tcBorders>
              <w:top w:val="nil"/>
              <w:left w:val="nil"/>
              <w:bottom w:val="single" w:color="auto" w:sz="4" w:space="0"/>
              <w:right w:val="single" w:color="auto" w:sz="4" w:space="0"/>
            </w:tcBorders>
            <w:shd w:val="clear" w:color="auto" w:fill="auto"/>
            <w:vAlign w:val="center"/>
          </w:tcPr>
          <w:p w14:paraId="01C486DF">
            <w:pPr>
              <w:widowControl/>
              <w:jc w:val="center"/>
              <w:textAlignment w:val="bottom"/>
              <w:rPr>
                <w:rFonts w:hint="default" w:ascii="宋体" w:hAnsi="宋体" w:eastAsia="宋体" w:cs="宋体"/>
                <w:kern w:val="0"/>
                <w:sz w:val="24"/>
                <w:szCs w:val="24"/>
                <w:highlight w:val="none"/>
                <w:lang w:val="en-US" w:eastAsia="zh-CN"/>
              </w:rPr>
            </w:pPr>
            <w:r>
              <w:rPr>
                <w:rFonts w:ascii="宋体" w:hAnsi="宋体" w:eastAsia="宋体" w:cs="宋体"/>
                <w:sz w:val="24"/>
                <w:szCs w:val="24"/>
              </w:rPr>
              <w:t>—</w:t>
            </w:r>
          </w:p>
        </w:tc>
        <w:tc>
          <w:tcPr>
            <w:tcW w:w="3149" w:type="dxa"/>
            <w:tcBorders>
              <w:top w:val="nil"/>
              <w:left w:val="nil"/>
              <w:bottom w:val="single" w:color="auto" w:sz="4" w:space="0"/>
              <w:right w:val="single" w:color="auto" w:sz="4" w:space="0"/>
            </w:tcBorders>
            <w:shd w:val="clear" w:color="auto" w:fill="auto"/>
            <w:vAlign w:val="center"/>
          </w:tcPr>
          <w:p w14:paraId="4556E3F6">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安排预算稳定调节基金</w:t>
            </w:r>
          </w:p>
        </w:tc>
        <w:tc>
          <w:tcPr>
            <w:tcW w:w="1489" w:type="dxa"/>
            <w:tcBorders>
              <w:top w:val="nil"/>
              <w:left w:val="nil"/>
              <w:bottom w:val="single" w:color="auto" w:sz="4" w:space="0"/>
              <w:right w:val="single" w:color="auto" w:sz="4" w:space="0"/>
            </w:tcBorders>
            <w:shd w:val="clear" w:color="auto" w:fill="auto"/>
            <w:vAlign w:val="center"/>
          </w:tcPr>
          <w:p w14:paraId="3BAF6C17">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ascii="宋体" w:hAnsi="宋体" w:eastAsia="宋体" w:cs="宋体"/>
                <w:sz w:val="24"/>
                <w:szCs w:val="24"/>
              </w:rPr>
              <w:t>—</w:t>
            </w:r>
          </w:p>
        </w:tc>
      </w:tr>
      <w:tr w14:paraId="0BC176D3">
        <w:tblPrEx>
          <w:tblCellMar>
            <w:top w:w="0" w:type="dxa"/>
            <w:left w:w="108" w:type="dxa"/>
            <w:bottom w:w="0" w:type="dxa"/>
            <w:right w:w="108" w:type="dxa"/>
          </w:tblCellMar>
        </w:tblPrEx>
        <w:trPr>
          <w:gridAfter w:val="1"/>
          <w:wAfter w:w="2" w:type="dxa"/>
          <w:trHeight w:val="673" w:hRule="atLeast"/>
          <w:jc w:val="center"/>
        </w:trPr>
        <w:tc>
          <w:tcPr>
            <w:tcW w:w="3257" w:type="dxa"/>
            <w:tcBorders>
              <w:top w:val="nil"/>
              <w:left w:val="single" w:color="auto" w:sz="4" w:space="0"/>
              <w:bottom w:val="single" w:color="auto" w:sz="4" w:space="0"/>
              <w:right w:val="single" w:color="auto" w:sz="4" w:space="0"/>
            </w:tcBorders>
            <w:shd w:val="clear" w:color="auto" w:fill="auto"/>
            <w:vAlign w:val="center"/>
          </w:tcPr>
          <w:p w14:paraId="0CBA7A94">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地方政府一般债务转贷收入</w:t>
            </w:r>
          </w:p>
        </w:tc>
        <w:tc>
          <w:tcPr>
            <w:tcW w:w="1462" w:type="dxa"/>
            <w:tcBorders>
              <w:top w:val="nil"/>
              <w:left w:val="nil"/>
              <w:bottom w:val="single" w:color="auto" w:sz="4" w:space="0"/>
              <w:right w:val="single" w:color="auto" w:sz="4" w:space="0"/>
            </w:tcBorders>
            <w:shd w:val="clear" w:color="auto" w:fill="auto"/>
            <w:vAlign w:val="center"/>
          </w:tcPr>
          <w:p w14:paraId="69E65A83">
            <w:pPr>
              <w:widowControl/>
              <w:jc w:val="center"/>
              <w:textAlignment w:val="bottom"/>
              <w:rPr>
                <w:rFonts w:hint="eastAsia" w:ascii="宋体" w:hAnsi="宋体" w:eastAsia="宋体" w:cs="宋体"/>
                <w:kern w:val="0"/>
                <w:sz w:val="24"/>
                <w:szCs w:val="24"/>
                <w:highlight w:val="none"/>
                <w:lang w:val="en-US" w:eastAsia="zh-CN"/>
              </w:rPr>
            </w:pPr>
            <w:r>
              <w:rPr>
                <w:rFonts w:ascii="宋体" w:hAnsi="宋体" w:eastAsia="宋体" w:cs="宋体"/>
                <w:sz w:val="24"/>
                <w:szCs w:val="24"/>
              </w:rPr>
              <w:t>—</w:t>
            </w:r>
          </w:p>
        </w:tc>
        <w:tc>
          <w:tcPr>
            <w:tcW w:w="3149" w:type="dxa"/>
            <w:tcBorders>
              <w:top w:val="nil"/>
              <w:left w:val="nil"/>
              <w:bottom w:val="single" w:color="auto" w:sz="4" w:space="0"/>
              <w:right w:val="single" w:color="auto" w:sz="4" w:space="0"/>
            </w:tcBorders>
            <w:shd w:val="clear" w:color="auto" w:fill="auto"/>
            <w:vAlign w:val="center"/>
          </w:tcPr>
          <w:p w14:paraId="2E61C6F6">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补充预算周转金</w:t>
            </w:r>
          </w:p>
        </w:tc>
        <w:tc>
          <w:tcPr>
            <w:tcW w:w="1489" w:type="dxa"/>
            <w:tcBorders>
              <w:top w:val="nil"/>
              <w:left w:val="nil"/>
              <w:bottom w:val="single" w:color="auto" w:sz="4" w:space="0"/>
              <w:right w:val="single" w:color="auto" w:sz="4" w:space="0"/>
            </w:tcBorders>
            <w:shd w:val="clear" w:color="auto" w:fill="auto"/>
            <w:vAlign w:val="center"/>
          </w:tcPr>
          <w:p w14:paraId="7BBDE7E9">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ascii="宋体" w:hAnsi="宋体" w:eastAsia="宋体" w:cs="宋体"/>
                <w:sz w:val="24"/>
                <w:szCs w:val="24"/>
              </w:rPr>
              <w:t>—</w:t>
            </w:r>
          </w:p>
        </w:tc>
      </w:tr>
      <w:tr w14:paraId="237B95E6">
        <w:tblPrEx>
          <w:tblCellMar>
            <w:top w:w="0" w:type="dxa"/>
            <w:left w:w="108" w:type="dxa"/>
            <w:bottom w:w="0" w:type="dxa"/>
            <w:right w:w="108" w:type="dxa"/>
          </w:tblCellMar>
        </w:tblPrEx>
        <w:trPr>
          <w:gridAfter w:val="1"/>
          <w:wAfter w:w="2" w:type="dxa"/>
          <w:trHeight w:val="673" w:hRule="atLeast"/>
          <w:jc w:val="center"/>
        </w:trPr>
        <w:tc>
          <w:tcPr>
            <w:tcW w:w="3257" w:type="dxa"/>
            <w:tcBorders>
              <w:top w:val="nil"/>
              <w:left w:val="single" w:color="auto" w:sz="4" w:space="0"/>
              <w:bottom w:val="single" w:color="auto" w:sz="4" w:space="0"/>
              <w:right w:val="single" w:color="auto" w:sz="4" w:space="0"/>
            </w:tcBorders>
            <w:shd w:val="clear" w:color="auto" w:fill="auto"/>
            <w:vAlign w:val="center"/>
          </w:tcPr>
          <w:p w14:paraId="377752DB">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调入资金</w:t>
            </w:r>
          </w:p>
        </w:tc>
        <w:tc>
          <w:tcPr>
            <w:tcW w:w="1462" w:type="dxa"/>
            <w:tcBorders>
              <w:top w:val="nil"/>
              <w:left w:val="nil"/>
              <w:bottom w:val="single" w:color="auto" w:sz="4" w:space="0"/>
              <w:right w:val="single" w:color="auto" w:sz="4" w:space="0"/>
            </w:tcBorders>
            <w:shd w:val="clear" w:color="auto" w:fill="auto"/>
            <w:vAlign w:val="center"/>
          </w:tcPr>
          <w:p w14:paraId="32B2A43F">
            <w:pPr>
              <w:widowControl/>
              <w:jc w:val="center"/>
              <w:textAlignment w:val="bottom"/>
              <w:rPr>
                <w:rFonts w:hint="default" w:ascii="宋体" w:hAnsi="宋体" w:eastAsia="宋体" w:cs="宋体"/>
                <w:kern w:val="0"/>
                <w:sz w:val="24"/>
                <w:szCs w:val="24"/>
                <w:highlight w:val="none"/>
                <w:lang w:val="en-US" w:eastAsia="zh-CN"/>
              </w:rPr>
            </w:pPr>
            <w:r>
              <w:rPr>
                <w:rFonts w:ascii="宋体" w:hAnsi="宋体" w:eastAsia="宋体" w:cs="宋体"/>
                <w:sz w:val="24"/>
                <w:szCs w:val="24"/>
              </w:rPr>
              <w:t>—</w:t>
            </w:r>
          </w:p>
        </w:tc>
        <w:tc>
          <w:tcPr>
            <w:tcW w:w="3149" w:type="dxa"/>
            <w:tcBorders>
              <w:top w:val="nil"/>
              <w:left w:val="nil"/>
              <w:bottom w:val="single" w:color="auto" w:sz="4" w:space="0"/>
              <w:right w:val="single" w:color="auto" w:sz="4" w:space="0"/>
            </w:tcBorders>
            <w:shd w:val="clear" w:color="auto" w:fill="auto"/>
            <w:vAlign w:val="center"/>
          </w:tcPr>
          <w:p w14:paraId="030F1CDC">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调出资金</w:t>
            </w:r>
          </w:p>
        </w:tc>
        <w:tc>
          <w:tcPr>
            <w:tcW w:w="1489" w:type="dxa"/>
            <w:tcBorders>
              <w:top w:val="nil"/>
              <w:left w:val="nil"/>
              <w:bottom w:val="single" w:color="auto" w:sz="4" w:space="0"/>
              <w:right w:val="single" w:color="auto" w:sz="4" w:space="0"/>
            </w:tcBorders>
            <w:shd w:val="clear" w:color="auto" w:fill="auto"/>
            <w:vAlign w:val="center"/>
          </w:tcPr>
          <w:p w14:paraId="5A203E2F">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ascii="宋体" w:hAnsi="宋体" w:eastAsia="宋体" w:cs="宋体"/>
                <w:sz w:val="24"/>
                <w:szCs w:val="24"/>
              </w:rPr>
              <w:t>—</w:t>
            </w:r>
          </w:p>
        </w:tc>
      </w:tr>
      <w:tr w14:paraId="5D9A1F95">
        <w:tblPrEx>
          <w:tblCellMar>
            <w:top w:w="0" w:type="dxa"/>
            <w:left w:w="108" w:type="dxa"/>
            <w:bottom w:w="0" w:type="dxa"/>
            <w:right w:w="108" w:type="dxa"/>
          </w:tblCellMar>
        </w:tblPrEx>
        <w:trPr>
          <w:gridAfter w:val="1"/>
          <w:wAfter w:w="2" w:type="dxa"/>
          <w:trHeight w:val="673" w:hRule="atLeast"/>
          <w:jc w:val="center"/>
        </w:trPr>
        <w:tc>
          <w:tcPr>
            <w:tcW w:w="3257" w:type="dxa"/>
            <w:tcBorders>
              <w:top w:val="nil"/>
              <w:left w:val="single" w:color="auto" w:sz="4" w:space="0"/>
              <w:bottom w:val="single" w:color="auto" w:sz="4" w:space="0"/>
              <w:right w:val="single" w:color="auto" w:sz="4" w:space="0"/>
            </w:tcBorders>
            <w:shd w:val="clear" w:color="auto" w:fill="auto"/>
            <w:vAlign w:val="center"/>
          </w:tcPr>
          <w:p w14:paraId="2F6CF4A5">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62" w:type="dxa"/>
            <w:tcBorders>
              <w:top w:val="nil"/>
              <w:left w:val="nil"/>
              <w:bottom w:val="single" w:color="auto" w:sz="4" w:space="0"/>
              <w:right w:val="single" w:color="auto" w:sz="4" w:space="0"/>
            </w:tcBorders>
            <w:shd w:val="clear" w:color="auto" w:fill="auto"/>
            <w:vAlign w:val="center"/>
          </w:tcPr>
          <w:p w14:paraId="0B7F00C7">
            <w:pPr>
              <w:widowControl/>
              <w:jc w:val="center"/>
              <w:textAlignment w:val="bottom"/>
              <w:rPr>
                <w:rFonts w:hint="eastAsia" w:ascii="宋体" w:hAnsi="宋体" w:eastAsia="宋体" w:cs="宋体"/>
                <w:kern w:val="0"/>
                <w:sz w:val="24"/>
                <w:szCs w:val="24"/>
                <w:highlight w:val="none"/>
                <w:lang w:val="en-US" w:eastAsia="zh-CN"/>
              </w:rPr>
            </w:pPr>
          </w:p>
        </w:tc>
        <w:tc>
          <w:tcPr>
            <w:tcW w:w="3149" w:type="dxa"/>
            <w:tcBorders>
              <w:top w:val="nil"/>
              <w:left w:val="nil"/>
              <w:bottom w:val="single" w:color="auto" w:sz="4" w:space="0"/>
              <w:right w:val="single" w:color="auto" w:sz="4" w:space="0"/>
            </w:tcBorders>
            <w:shd w:val="clear" w:color="auto" w:fill="auto"/>
            <w:vAlign w:val="center"/>
          </w:tcPr>
          <w:p w14:paraId="5B420A71">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89" w:type="dxa"/>
            <w:tcBorders>
              <w:top w:val="nil"/>
              <w:left w:val="nil"/>
              <w:bottom w:val="single" w:color="auto" w:sz="4" w:space="0"/>
              <w:right w:val="single" w:color="auto" w:sz="4" w:space="0"/>
            </w:tcBorders>
            <w:shd w:val="clear" w:color="auto" w:fill="auto"/>
            <w:vAlign w:val="center"/>
          </w:tcPr>
          <w:p w14:paraId="2207F28A">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p>
        </w:tc>
      </w:tr>
      <w:tr w14:paraId="231DD199">
        <w:tblPrEx>
          <w:tblCellMar>
            <w:top w:w="0" w:type="dxa"/>
            <w:left w:w="108" w:type="dxa"/>
            <w:bottom w:w="0" w:type="dxa"/>
            <w:right w:w="108" w:type="dxa"/>
          </w:tblCellMar>
        </w:tblPrEx>
        <w:trPr>
          <w:gridAfter w:val="1"/>
          <w:wAfter w:w="2" w:type="dxa"/>
          <w:trHeight w:val="684" w:hRule="atLeast"/>
          <w:jc w:val="center"/>
        </w:trPr>
        <w:tc>
          <w:tcPr>
            <w:tcW w:w="3257" w:type="dxa"/>
            <w:tcBorders>
              <w:top w:val="nil"/>
              <w:left w:val="single" w:color="auto" w:sz="4" w:space="0"/>
              <w:bottom w:val="single" w:color="auto" w:sz="4" w:space="0"/>
              <w:right w:val="single" w:color="auto" w:sz="4" w:space="0"/>
            </w:tcBorders>
            <w:shd w:val="clear" w:color="auto" w:fill="auto"/>
            <w:vAlign w:val="center"/>
          </w:tcPr>
          <w:p w14:paraId="60A05CED">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收入总计</w:t>
            </w:r>
          </w:p>
        </w:tc>
        <w:tc>
          <w:tcPr>
            <w:tcW w:w="1462" w:type="dxa"/>
            <w:tcBorders>
              <w:top w:val="nil"/>
              <w:left w:val="nil"/>
              <w:bottom w:val="single" w:color="auto" w:sz="4" w:space="0"/>
              <w:right w:val="single" w:color="auto" w:sz="4" w:space="0"/>
            </w:tcBorders>
            <w:shd w:val="clear" w:color="auto" w:fill="auto"/>
            <w:vAlign w:val="center"/>
          </w:tcPr>
          <w:p w14:paraId="04B0DCD6">
            <w:pPr>
              <w:widowControl/>
              <w:jc w:val="center"/>
              <w:textAlignment w:val="bottom"/>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414513</w:t>
            </w:r>
          </w:p>
        </w:tc>
        <w:tc>
          <w:tcPr>
            <w:tcW w:w="3149" w:type="dxa"/>
            <w:tcBorders>
              <w:top w:val="nil"/>
              <w:left w:val="nil"/>
              <w:bottom w:val="single" w:color="auto" w:sz="4" w:space="0"/>
              <w:right w:val="single" w:color="auto" w:sz="4" w:space="0"/>
            </w:tcBorders>
            <w:shd w:val="clear" w:color="auto" w:fill="auto"/>
            <w:vAlign w:val="center"/>
          </w:tcPr>
          <w:p w14:paraId="3909ECE3">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支出总计</w:t>
            </w:r>
          </w:p>
        </w:tc>
        <w:tc>
          <w:tcPr>
            <w:tcW w:w="1489" w:type="dxa"/>
            <w:tcBorders>
              <w:top w:val="nil"/>
              <w:left w:val="nil"/>
              <w:bottom w:val="single" w:color="auto" w:sz="4" w:space="0"/>
              <w:right w:val="single" w:color="auto" w:sz="4" w:space="0"/>
            </w:tcBorders>
            <w:shd w:val="clear" w:color="auto" w:fill="auto"/>
            <w:vAlign w:val="center"/>
          </w:tcPr>
          <w:p w14:paraId="75719AE3">
            <w:pPr>
              <w:keepNext w:val="0"/>
              <w:keepLines w:val="0"/>
              <w:widowControl/>
              <w:suppressLineNumbers w:val="0"/>
              <w:jc w:val="center"/>
              <w:textAlignment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414513</w:t>
            </w:r>
          </w:p>
        </w:tc>
      </w:tr>
      <w:bookmarkEnd w:id="5"/>
    </w:tbl>
    <w:p w14:paraId="2024C8C2">
      <w:pPr>
        <w:rPr>
          <w:rFonts w:hint="eastAsia" w:ascii="仿宋_GB2312" w:hAnsi="仿宋_GB2312" w:eastAsia="仿宋_GB2312" w:cs="仿宋_GB2312"/>
          <w:color w:val="auto"/>
          <w:sz w:val="32"/>
          <w:szCs w:val="32"/>
        </w:rPr>
        <w:sectPr>
          <w:footerReference r:id="rId3" w:type="default"/>
          <w:footerReference r:id="rId4" w:type="even"/>
          <w:pgSz w:w="11906" w:h="16838"/>
          <w:pgMar w:top="2098" w:right="1474" w:bottom="1928" w:left="1531" w:header="851" w:footer="1417" w:gutter="0"/>
          <w:pgBorders>
            <w:top w:val="none" w:sz="0" w:space="0"/>
            <w:left w:val="none" w:sz="0" w:space="0"/>
            <w:bottom w:val="none" w:sz="0" w:space="0"/>
            <w:right w:val="none" w:sz="0" w:space="0"/>
          </w:pgBorders>
          <w:pgNumType w:fmt="numberInDash" w:start="1"/>
          <w:cols w:space="0" w:num="1"/>
          <w:rtlGutter w:val="0"/>
          <w:docGrid w:type="lines" w:linePitch="312" w:charSpace="0"/>
        </w:sectPr>
      </w:pPr>
      <w:bookmarkStart w:id="6" w:name="_Toc17998"/>
      <w:bookmarkStart w:id="7" w:name="_Toc11283"/>
      <w:bookmarkStart w:id="8" w:name="_Toc6468"/>
      <w:bookmarkStart w:id="9" w:name="_Toc28639"/>
    </w:p>
    <w:tbl>
      <w:tblPr>
        <w:tblStyle w:val="20"/>
        <w:tblW w:w="8858" w:type="dxa"/>
        <w:jc w:val="center"/>
        <w:tblLayout w:type="fixed"/>
        <w:tblCellMar>
          <w:top w:w="0" w:type="dxa"/>
          <w:left w:w="108" w:type="dxa"/>
          <w:bottom w:w="0" w:type="dxa"/>
          <w:right w:w="108" w:type="dxa"/>
        </w:tblCellMar>
      </w:tblPr>
      <w:tblGrid>
        <w:gridCol w:w="4035"/>
        <w:gridCol w:w="1707"/>
        <w:gridCol w:w="1707"/>
        <w:gridCol w:w="1409"/>
      </w:tblGrid>
      <w:tr w14:paraId="4D20B7D4">
        <w:trPr>
          <w:cantSplit/>
          <w:trHeight w:val="667" w:hRule="atLeast"/>
          <w:jc w:val="center"/>
        </w:trPr>
        <w:tc>
          <w:tcPr>
            <w:tcW w:w="4035" w:type="dxa"/>
            <w:tcBorders>
              <w:top w:val="nil"/>
              <w:left w:val="nil"/>
              <w:bottom w:val="nil"/>
              <w:right w:val="nil"/>
            </w:tcBorders>
            <w:shd w:val="clear" w:color="auto" w:fill="auto"/>
            <w:vAlign w:val="center"/>
          </w:tcPr>
          <w:p w14:paraId="7962195D">
            <w:pPr>
              <w:widowControl/>
              <w:jc w:val="left"/>
              <w:rPr>
                <w:rFonts w:hint="eastAsia" w:ascii="宋体" w:hAnsi="宋体" w:eastAsia="宋体" w:cs="宋体"/>
                <w:kern w:val="0"/>
                <w:sz w:val="24"/>
                <w:szCs w:val="24"/>
              </w:rPr>
            </w:pPr>
            <w:r>
              <w:rPr>
                <w:rFonts w:hint="eastAsia" w:ascii="黑体" w:hAnsi="黑体" w:eastAsia="黑体" w:cs="黑体"/>
                <w:sz w:val="32"/>
                <w:szCs w:val="32"/>
              </w:rPr>
              <w:br w:type="page"/>
            </w:r>
            <w:r>
              <w:rPr>
                <w:rFonts w:hint="eastAsia" w:ascii="黑体" w:hAnsi="黑体" w:eastAsia="黑体" w:cs="黑体"/>
                <w:sz w:val="32"/>
                <w:szCs w:val="32"/>
              </w:rPr>
              <w:br w:type="page"/>
            </w:r>
            <w:r>
              <w:rPr>
                <w:rFonts w:hint="eastAsia" w:ascii="黑体" w:hAnsi="黑体" w:eastAsia="黑体" w:cs="黑体"/>
                <w:kern w:val="0"/>
                <w:sz w:val="32"/>
                <w:szCs w:val="32"/>
              </w:rPr>
              <w:t>表</w:t>
            </w:r>
            <w:bookmarkStart w:id="10" w:name="RANGE!A1:D29"/>
            <w:r>
              <w:rPr>
                <w:rFonts w:hint="eastAsia" w:ascii="黑体" w:hAnsi="黑体" w:eastAsia="黑体" w:cs="黑体"/>
                <w:kern w:val="0"/>
                <w:sz w:val="32"/>
                <w:szCs w:val="32"/>
              </w:rPr>
              <w:t>八</w:t>
            </w:r>
            <w:bookmarkEnd w:id="10"/>
          </w:p>
        </w:tc>
        <w:tc>
          <w:tcPr>
            <w:tcW w:w="1707" w:type="dxa"/>
            <w:tcBorders>
              <w:top w:val="nil"/>
              <w:left w:val="nil"/>
              <w:bottom w:val="nil"/>
              <w:right w:val="nil"/>
            </w:tcBorders>
            <w:shd w:val="clear" w:color="auto" w:fill="auto"/>
            <w:vAlign w:val="center"/>
          </w:tcPr>
          <w:p w14:paraId="59362479">
            <w:pPr>
              <w:widowControl/>
              <w:jc w:val="center"/>
              <w:rPr>
                <w:rFonts w:hint="eastAsia" w:ascii="宋体" w:hAnsi="宋体" w:eastAsia="宋体" w:cs="宋体"/>
                <w:kern w:val="0"/>
                <w:sz w:val="24"/>
                <w:szCs w:val="24"/>
              </w:rPr>
            </w:pPr>
          </w:p>
        </w:tc>
        <w:tc>
          <w:tcPr>
            <w:tcW w:w="1707" w:type="dxa"/>
            <w:tcBorders>
              <w:top w:val="nil"/>
              <w:left w:val="nil"/>
              <w:bottom w:val="nil"/>
              <w:right w:val="nil"/>
            </w:tcBorders>
            <w:shd w:val="clear" w:color="auto" w:fill="auto"/>
            <w:vAlign w:val="center"/>
          </w:tcPr>
          <w:p w14:paraId="0F0BE7E9">
            <w:pPr>
              <w:widowControl/>
              <w:jc w:val="center"/>
              <w:rPr>
                <w:rFonts w:hint="eastAsia" w:ascii="宋体" w:hAnsi="宋体" w:eastAsia="宋体" w:cs="宋体"/>
                <w:kern w:val="0"/>
                <w:sz w:val="24"/>
                <w:szCs w:val="24"/>
              </w:rPr>
            </w:pPr>
          </w:p>
        </w:tc>
        <w:tc>
          <w:tcPr>
            <w:tcW w:w="1409" w:type="dxa"/>
            <w:tcBorders>
              <w:top w:val="nil"/>
              <w:left w:val="nil"/>
              <w:bottom w:val="nil"/>
              <w:right w:val="nil"/>
            </w:tcBorders>
            <w:shd w:val="clear" w:color="auto" w:fill="auto"/>
            <w:vAlign w:val="center"/>
          </w:tcPr>
          <w:p w14:paraId="34F108A6">
            <w:pPr>
              <w:widowControl/>
              <w:jc w:val="center"/>
              <w:rPr>
                <w:rFonts w:hint="eastAsia" w:ascii="宋体" w:hAnsi="宋体" w:eastAsia="宋体" w:cs="宋体"/>
                <w:kern w:val="0"/>
                <w:sz w:val="24"/>
                <w:szCs w:val="24"/>
              </w:rPr>
            </w:pPr>
          </w:p>
        </w:tc>
      </w:tr>
      <w:tr w14:paraId="57BBD786">
        <w:tblPrEx>
          <w:tblCellMar>
            <w:top w:w="0" w:type="dxa"/>
            <w:left w:w="108" w:type="dxa"/>
            <w:bottom w:w="0" w:type="dxa"/>
            <w:right w:w="108" w:type="dxa"/>
          </w:tblCellMar>
        </w:tblPrEx>
        <w:trPr>
          <w:cantSplit/>
          <w:trHeight w:val="1154" w:hRule="atLeast"/>
          <w:jc w:val="center"/>
        </w:trPr>
        <w:tc>
          <w:tcPr>
            <w:tcW w:w="8858" w:type="dxa"/>
            <w:gridSpan w:val="4"/>
            <w:tcBorders>
              <w:top w:val="nil"/>
              <w:left w:val="nil"/>
              <w:bottom w:val="nil"/>
              <w:right w:val="nil"/>
            </w:tcBorders>
            <w:shd w:val="clear" w:color="auto" w:fill="auto"/>
            <w:vAlign w:val="center"/>
          </w:tcPr>
          <w:p w14:paraId="65B7B685">
            <w:pPr>
              <w:pStyle w:val="48"/>
              <w:rPr>
                <w:rFonts w:hint="eastAsia" w:ascii="宋体" w:hAnsi="宋体" w:eastAsia="宋体" w:cs="宋体"/>
                <w:sz w:val="24"/>
                <w:szCs w:val="24"/>
                <w:highlight w:val="none"/>
              </w:rPr>
            </w:pPr>
            <w:r>
              <w:rPr>
                <w:rFonts w:hint="eastAsia" w:ascii="方正小标宋简体" w:hAnsi="方正小标宋简体" w:eastAsia="方正小标宋简体" w:cs="方正小标宋简体"/>
                <w:sz w:val="44"/>
                <w:szCs w:val="44"/>
                <w:highlight w:val="none"/>
              </w:rPr>
              <w:t>202</w:t>
            </w:r>
            <w:r>
              <w:rPr>
                <w:rFonts w:hint="eastAsia" w:hAnsi="方正小标宋简体" w:cs="方正小标宋简体"/>
                <w:sz w:val="44"/>
                <w:szCs w:val="44"/>
                <w:highlight w:val="none"/>
                <w:lang w:val="en-US" w:eastAsia="zh-CN"/>
              </w:rPr>
              <w:t>6</w:t>
            </w:r>
            <w:r>
              <w:rPr>
                <w:rFonts w:hint="eastAsia" w:ascii="方正小标宋简体" w:hAnsi="方正小标宋简体" w:eastAsia="方正小标宋简体" w:cs="方正小标宋简体"/>
                <w:sz w:val="44"/>
                <w:szCs w:val="44"/>
                <w:highlight w:val="none"/>
              </w:rPr>
              <w:t>年一般公共预算收入预算表</w:t>
            </w:r>
          </w:p>
        </w:tc>
      </w:tr>
      <w:tr w14:paraId="55B55E16">
        <w:tblPrEx>
          <w:tblCellMar>
            <w:top w:w="0" w:type="dxa"/>
            <w:left w:w="108" w:type="dxa"/>
            <w:bottom w:w="0" w:type="dxa"/>
            <w:right w:w="108" w:type="dxa"/>
          </w:tblCellMar>
        </w:tblPrEx>
        <w:trPr>
          <w:cantSplit/>
          <w:trHeight w:val="454" w:hRule="atLeast"/>
          <w:jc w:val="center"/>
        </w:trPr>
        <w:tc>
          <w:tcPr>
            <w:tcW w:w="4035" w:type="dxa"/>
            <w:tcBorders>
              <w:top w:val="nil"/>
              <w:left w:val="nil"/>
              <w:bottom w:val="nil"/>
              <w:right w:val="nil"/>
            </w:tcBorders>
            <w:shd w:val="clear" w:color="auto" w:fill="auto"/>
            <w:vAlign w:val="center"/>
          </w:tcPr>
          <w:p w14:paraId="3AE112A3">
            <w:pPr>
              <w:widowControl/>
              <w:jc w:val="left"/>
              <w:rPr>
                <w:rFonts w:hint="eastAsia" w:ascii="宋体" w:hAnsi="宋体" w:eastAsia="宋体" w:cs="宋体"/>
                <w:kern w:val="0"/>
                <w:sz w:val="24"/>
                <w:szCs w:val="24"/>
              </w:rPr>
            </w:pPr>
          </w:p>
        </w:tc>
        <w:tc>
          <w:tcPr>
            <w:tcW w:w="1707" w:type="dxa"/>
            <w:tcBorders>
              <w:top w:val="nil"/>
              <w:left w:val="nil"/>
              <w:bottom w:val="nil"/>
              <w:right w:val="nil"/>
            </w:tcBorders>
            <w:shd w:val="clear" w:color="auto" w:fill="auto"/>
            <w:vAlign w:val="center"/>
          </w:tcPr>
          <w:p w14:paraId="2DBD848A">
            <w:pPr>
              <w:widowControl/>
              <w:jc w:val="center"/>
              <w:rPr>
                <w:rFonts w:hint="eastAsia" w:ascii="宋体" w:hAnsi="宋体" w:eastAsia="宋体" w:cs="宋体"/>
                <w:kern w:val="0"/>
                <w:sz w:val="24"/>
                <w:szCs w:val="24"/>
              </w:rPr>
            </w:pPr>
          </w:p>
        </w:tc>
        <w:tc>
          <w:tcPr>
            <w:tcW w:w="1707" w:type="dxa"/>
            <w:tcBorders>
              <w:top w:val="nil"/>
              <w:left w:val="nil"/>
              <w:bottom w:val="nil"/>
              <w:right w:val="nil"/>
            </w:tcBorders>
            <w:shd w:val="clear" w:color="auto" w:fill="auto"/>
            <w:vAlign w:val="center"/>
          </w:tcPr>
          <w:p w14:paraId="21746B2A">
            <w:pPr>
              <w:widowControl/>
              <w:jc w:val="center"/>
              <w:rPr>
                <w:rFonts w:hint="eastAsia" w:ascii="宋体" w:hAnsi="宋体" w:eastAsia="宋体" w:cs="宋体"/>
                <w:kern w:val="0"/>
                <w:sz w:val="24"/>
                <w:szCs w:val="24"/>
              </w:rPr>
            </w:pPr>
          </w:p>
        </w:tc>
        <w:tc>
          <w:tcPr>
            <w:tcW w:w="1409" w:type="dxa"/>
            <w:tcBorders>
              <w:top w:val="nil"/>
              <w:left w:val="nil"/>
              <w:bottom w:val="nil"/>
              <w:right w:val="nil"/>
            </w:tcBorders>
            <w:shd w:val="clear" w:color="auto" w:fill="auto"/>
            <w:vAlign w:val="center"/>
          </w:tcPr>
          <w:p w14:paraId="76D96720">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单位：万元</w:t>
            </w:r>
          </w:p>
        </w:tc>
      </w:tr>
      <w:tr w14:paraId="63AA6601">
        <w:tblPrEx>
          <w:tblCellMar>
            <w:top w:w="0" w:type="dxa"/>
            <w:left w:w="108" w:type="dxa"/>
            <w:bottom w:w="0" w:type="dxa"/>
            <w:right w:w="108" w:type="dxa"/>
          </w:tblCellMar>
        </w:tblPrEx>
        <w:trPr>
          <w:cantSplit/>
          <w:trHeight w:val="405" w:hRule="atLeast"/>
          <w:jc w:val="center"/>
        </w:trPr>
        <w:tc>
          <w:tcPr>
            <w:tcW w:w="4035" w:type="dxa"/>
            <w:tcBorders>
              <w:top w:val="single" w:color="auto" w:sz="4" w:space="0"/>
              <w:left w:val="single" w:color="auto" w:sz="4" w:space="0"/>
              <w:bottom w:val="single" w:color="auto" w:sz="4" w:space="0"/>
              <w:right w:val="single" w:color="auto" w:sz="4" w:space="0"/>
            </w:tcBorders>
            <w:shd w:val="clear" w:color="auto" w:fill="auto"/>
            <w:vAlign w:val="center"/>
          </w:tcPr>
          <w:p w14:paraId="041DEF95">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项   目</w:t>
            </w:r>
          </w:p>
        </w:tc>
        <w:tc>
          <w:tcPr>
            <w:tcW w:w="1707" w:type="dxa"/>
            <w:tcBorders>
              <w:top w:val="single" w:color="auto" w:sz="4" w:space="0"/>
              <w:left w:val="nil"/>
              <w:bottom w:val="single" w:color="auto" w:sz="4" w:space="0"/>
              <w:right w:val="single" w:color="auto" w:sz="4" w:space="0"/>
            </w:tcBorders>
            <w:shd w:val="clear" w:color="auto" w:fill="auto"/>
            <w:vAlign w:val="center"/>
          </w:tcPr>
          <w:p w14:paraId="65EC747C">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2025年执行数</w:t>
            </w:r>
          </w:p>
        </w:tc>
        <w:tc>
          <w:tcPr>
            <w:tcW w:w="1707" w:type="dxa"/>
            <w:tcBorders>
              <w:top w:val="single" w:color="auto" w:sz="4" w:space="0"/>
              <w:left w:val="nil"/>
              <w:bottom w:val="single" w:color="auto" w:sz="4" w:space="0"/>
              <w:right w:val="single" w:color="auto" w:sz="4" w:space="0"/>
            </w:tcBorders>
            <w:shd w:val="clear" w:color="auto" w:fill="auto"/>
            <w:vAlign w:val="center"/>
          </w:tcPr>
          <w:p w14:paraId="59669B57">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2026年预算数</w:t>
            </w:r>
          </w:p>
        </w:tc>
        <w:tc>
          <w:tcPr>
            <w:tcW w:w="1409" w:type="dxa"/>
            <w:tcBorders>
              <w:top w:val="single" w:color="auto" w:sz="4" w:space="0"/>
              <w:left w:val="nil"/>
              <w:bottom w:val="single" w:color="auto" w:sz="4" w:space="0"/>
              <w:right w:val="single" w:color="auto" w:sz="4" w:space="0"/>
            </w:tcBorders>
            <w:shd w:val="clear" w:color="auto" w:fill="auto"/>
            <w:vAlign w:val="center"/>
          </w:tcPr>
          <w:p w14:paraId="2E97C833">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增幅%</w:t>
            </w:r>
          </w:p>
        </w:tc>
      </w:tr>
      <w:tr w14:paraId="79F7E142">
        <w:tblPrEx>
          <w:tblCellMar>
            <w:top w:w="0" w:type="dxa"/>
            <w:left w:w="108" w:type="dxa"/>
            <w:bottom w:w="0" w:type="dxa"/>
            <w:right w:w="108" w:type="dxa"/>
          </w:tblCellMar>
        </w:tblPrEx>
        <w:trPr>
          <w:cantSplit/>
          <w:trHeight w:val="405" w:hRule="atLeast"/>
          <w:jc w:val="center"/>
        </w:trPr>
        <w:tc>
          <w:tcPr>
            <w:tcW w:w="4035" w:type="dxa"/>
            <w:tcBorders>
              <w:top w:val="nil"/>
              <w:left w:val="single" w:color="auto" w:sz="4" w:space="0"/>
              <w:bottom w:val="single" w:color="auto" w:sz="4" w:space="0"/>
              <w:right w:val="single" w:color="auto" w:sz="4" w:space="0"/>
            </w:tcBorders>
            <w:shd w:val="clear" w:color="auto" w:fill="auto"/>
            <w:vAlign w:val="center"/>
          </w:tcPr>
          <w:p w14:paraId="674EEF8A">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税收收入</w:t>
            </w:r>
          </w:p>
        </w:tc>
        <w:tc>
          <w:tcPr>
            <w:tcW w:w="1707" w:type="dxa"/>
            <w:tcBorders>
              <w:top w:val="nil"/>
              <w:left w:val="nil"/>
              <w:bottom w:val="single" w:color="auto" w:sz="4" w:space="0"/>
              <w:right w:val="single" w:color="auto" w:sz="4" w:space="0"/>
            </w:tcBorders>
            <w:shd w:val="clear" w:color="000000" w:fill="FFFFFF"/>
            <w:vAlign w:val="center"/>
          </w:tcPr>
          <w:p w14:paraId="620721B9">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116329</w:t>
            </w:r>
          </w:p>
        </w:tc>
        <w:tc>
          <w:tcPr>
            <w:tcW w:w="1707" w:type="dxa"/>
            <w:tcBorders>
              <w:top w:val="nil"/>
              <w:left w:val="nil"/>
              <w:bottom w:val="single" w:color="auto" w:sz="4" w:space="0"/>
              <w:right w:val="single" w:color="auto" w:sz="4" w:space="0"/>
            </w:tcBorders>
            <w:shd w:val="clear" w:color="auto" w:fill="auto"/>
            <w:vAlign w:val="center"/>
          </w:tcPr>
          <w:p w14:paraId="21E68DBD">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125000</w:t>
            </w:r>
          </w:p>
        </w:tc>
        <w:tc>
          <w:tcPr>
            <w:tcW w:w="1409" w:type="dxa"/>
            <w:tcBorders>
              <w:top w:val="nil"/>
              <w:left w:val="nil"/>
              <w:bottom w:val="single" w:color="auto" w:sz="4" w:space="0"/>
              <w:right w:val="single" w:color="auto" w:sz="4" w:space="0"/>
            </w:tcBorders>
            <w:shd w:val="clear" w:color="auto" w:fill="auto"/>
            <w:vAlign w:val="center"/>
          </w:tcPr>
          <w:p w14:paraId="413A1974">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7.5%</w:t>
            </w:r>
          </w:p>
        </w:tc>
      </w:tr>
      <w:tr w14:paraId="6A23548D">
        <w:tblPrEx>
          <w:tblCellMar>
            <w:top w:w="0" w:type="dxa"/>
            <w:left w:w="108" w:type="dxa"/>
            <w:bottom w:w="0" w:type="dxa"/>
            <w:right w:w="108" w:type="dxa"/>
          </w:tblCellMar>
        </w:tblPrEx>
        <w:trPr>
          <w:cantSplit/>
          <w:trHeight w:val="405" w:hRule="atLeast"/>
          <w:jc w:val="center"/>
        </w:trPr>
        <w:tc>
          <w:tcPr>
            <w:tcW w:w="4035" w:type="dxa"/>
            <w:tcBorders>
              <w:top w:val="nil"/>
              <w:left w:val="single" w:color="auto" w:sz="4" w:space="0"/>
              <w:bottom w:val="single" w:color="auto" w:sz="4" w:space="0"/>
              <w:right w:val="single" w:color="auto" w:sz="4" w:space="0"/>
            </w:tcBorders>
            <w:shd w:val="clear" w:color="auto" w:fill="auto"/>
            <w:vAlign w:val="center"/>
          </w:tcPr>
          <w:p w14:paraId="5FCB39B1">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 xml:space="preserve">      增值税</w:t>
            </w:r>
          </w:p>
        </w:tc>
        <w:tc>
          <w:tcPr>
            <w:tcW w:w="1707" w:type="dxa"/>
            <w:tcBorders>
              <w:top w:val="nil"/>
              <w:left w:val="nil"/>
              <w:bottom w:val="single" w:color="auto" w:sz="4" w:space="0"/>
              <w:right w:val="single" w:color="auto" w:sz="4" w:space="0"/>
            </w:tcBorders>
            <w:shd w:val="clear" w:color="auto" w:fill="auto"/>
            <w:vAlign w:val="center"/>
          </w:tcPr>
          <w:p w14:paraId="6D6641B8">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28747</w:t>
            </w:r>
          </w:p>
        </w:tc>
        <w:tc>
          <w:tcPr>
            <w:tcW w:w="1707" w:type="dxa"/>
            <w:tcBorders>
              <w:top w:val="nil"/>
              <w:left w:val="nil"/>
              <w:bottom w:val="single" w:color="auto" w:sz="4" w:space="0"/>
              <w:right w:val="single" w:color="auto" w:sz="4" w:space="0"/>
            </w:tcBorders>
            <w:shd w:val="clear" w:color="auto" w:fill="auto"/>
            <w:vAlign w:val="center"/>
          </w:tcPr>
          <w:p w14:paraId="76E39290">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28800</w:t>
            </w:r>
          </w:p>
        </w:tc>
        <w:tc>
          <w:tcPr>
            <w:tcW w:w="1409" w:type="dxa"/>
            <w:tcBorders>
              <w:top w:val="nil"/>
              <w:left w:val="nil"/>
              <w:bottom w:val="single" w:color="auto" w:sz="4" w:space="0"/>
              <w:right w:val="single" w:color="auto" w:sz="4" w:space="0"/>
            </w:tcBorders>
            <w:shd w:val="clear" w:color="auto" w:fill="auto"/>
            <w:vAlign w:val="center"/>
          </w:tcPr>
          <w:p w14:paraId="33F9626C">
            <w:pPr>
              <w:keepNext w:val="0"/>
              <w:keepLines w:val="0"/>
              <w:widowControl/>
              <w:suppressLineNumbers w:val="0"/>
              <w:jc w:val="center"/>
              <w:textAlignment w:val="center"/>
              <w:rPr>
                <w:rFonts w:hint="eastAsia" w:ascii="宋体" w:hAnsi="宋体" w:eastAsia="宋体" w:cs="宋体"/>
                <w:sz w:val="24"/>
                <w:szCs w:val="24"/>
                <w:highlight w:val="none"/>
              </w:rPr>
            </w:pPr>
          </w:p>
        </w:tc>
      </w:tr>
      <w:tr w14:paraId="4F5C2C87">
        <w:tblPrEx>
          <w:tblCellMar>
            <w:top w:w="0" w:type="dxa"/>
            <w:left w:w="108" w:type="dxa"/>
            <w:bottom w:w="0" w:type="dxa"/>
            <w:right w:w="108" w:type="dxa"/>
          </w:tblCellMar>
        </w:tblPrEx>
        <w:trPr>
          <w:cantSplit/>
          <w:trHeight w:val="405" w:hRule="atLeast"/>
          <w:jc w:val="center"/>
        </w:trPr>
        <w:tc>
          <w:tcPr>
            <w:tcW w:w="4035" w:type="dxa"/>
            <w:tcBorders>
              <w:top w:val="nil"/>
              <w:left w:val="single" w:color="auto" w:sz="4" w:space="0"/>
              <w:bottom w:val="single" w:color="auto" w:sz="4" w:space="0"/>
              <w:right w:val="single" w:color="auto" w:sz="4" w:space="0"/>
            </w:tcBorders>
            <w:shd w:val="clear" w:color="auto" w:fill="auto"/>
            <w:vAlign w:val="center"/>
          </w:tcPr>
          <w:p w14:paraId="2E8CD7A1">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 xml:space="preserve">      企业所得税</w:t>
            </w:r>
          </w:p>
        </w:tc>
        <w:tc>
          <w:tcPr>
            <w:tcW w:w="1707" w:type="dxa"/>
            <w:tcBorders>
              <w:top w:val="nil"/>
              <w:left w:val="nil"/>
              <w:bottom w:val="single" w:color="auto" w:sz="4" w:space="0"/>
              <w:right w:val="single" w:color="auto" w:sz="4" w:space="0"/>
            </w:tcBorders>
            <w:shd w:val="clear" w:color="auto" w:fill="auto"/>
            <w:vAlign w:val="center"/>
          </w:tcPr>
          <w:p w14:paraId="615E16AE">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6969</w:t>
            </w:r>
          </w:p>
        </w:tc>
        <w:tc>
          <w:tcPr>
            <w:tcW w:w="1707" w:type="dxa"/>
            <w:tcBorders>
              <w:top w:val="nil"/>
              <w:left w:val="nil"/>
              <w:bottom w:val="single" w:color="auto" w:sz="4" w:space="0"/>
              <w:right w:val="single" w:color="auto" w:sz="4" w:space="0"/>
            </w:tcBorders>
            <w:shd w:val="clear" w:color="auto" w:fill="auto"/>
            <w:vAlign w:val="center"/>
          </w:tcPr>
          <w:p w14:paraId="4D7E0870">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9200</w:t>
            </w:r>
          </w:p>
        </w:tc>
        <w:tc>
          <w:tcPr>
            <w:tcW w:w="1409" w:type="dxa"/>
            <w:tcBorders>
              <w:top w:val="nil"/>
              <w:left w:val="nil"/>
              <w:bottom w:val="single" w:color="auto" w:sz="4" w:space="0"/>
              <w:right w:val="single" w:color="auto" w:sz="4" w:space="0"/>
            </w:tcBorders>
            <w:shd w:val="clear" w:color="auto" w:fill="auto"/>
            <w:vAlign w:val="center"/>
          </w:tcPr>
          <w:p w14:paraId="792BD253">
            <w:pPr>
              <w:keepNext w:val="0"/>
              <w:keepLines w:val="0"/>
              <w:widowControl/>
              <w:suppressLineNumbers w:val="0"/>
              <w:jc w:val="center"/>
              <w:textAlignment w:val="center"/>
              <w:rPr>
                <w:rFonts w:hint="eastAsia" w:ascii="宋体" w:hAnsi="宋体" w:eastAsia="宋体" w:cs="宋体"/>
                <w:sz w:val="24"/>
                <w:szCs w:val="24"/>
                <w:highlight w:val="none"/>
              </w:rPr>
            </w:pPr>
          </w:p>
        </w:tc>
      </w:tr>
      <w:tr w14:paraId="7C1E089C">
        <w:tblPrEx>
          <w:tblCellMar>
            <w:top w:w="0" w:type="dxa"/>
            <w:left w:w="108" w:type="dxa"/>
            <w:bottom w:w="0" w:type="dxa"/>
            <w:right w:w="108" w:type="dxa"/>
          </w:tblCellMar>
        </w:tblPrEx>
        <w:trPr>
          <w:cantSplit/>
          <w:trHeight w:val="405" w:hRule="atLeast"/>
          <w:jc w:val="center"/>
        </w:trPr>
        <w:tc>
          <w:tcPr>
            <w:tcW w:w="4035" w:type="dxa"/>
            <w:tcBorders>
              <w:top w:val="nil"/>
              <w:left w:val="single" w:color="auto" w:sz="4" w:space="0"/>
              <w:bottom w:val="single" w:color="auto" w:sz="4" w:space="0"/>
              <w:right w:val="single" w:color="auto" w:sz="4" w:space="0"/>
            </w:tcBorders>
            <w:shd w:val="clear" w:color="auto" w:fill="auto"/>
            <w:vAlign w:val="center"/>
          </w:tcPr>
          <w:p w14:paraId="09173145">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 xml:space="preserve">      个人所得税</w:t>
            </w:r>
          </w:p>
        </w:tc>
        <w:tc>
          <w:tcPr>
            <w:tcW w:w="1707" w:type="dxa"/>
            <w:tcBorders>
              <w:top w:val="nil"/>
              <w:left w:val="nil"/>
              <w:bottom w:val="single" w:color="auto" w:sz="4" w:space="0"/>
              <w:right w:val="single" w:color="auto" w:sz="4" w:space="0"/>
            </w:tcBorders>
            <w:shd w:val="clear" w:color="auto" w:fill="auto"/>
            <w:vAlign w:val="center"/>
          </w:tcPr>
          <w:p w14:paraId="4AF8712A">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1302</w:t>
            </w:r>
          </w:p>
        </w:tc>
        <w:tc>
          <w:tcPr>
            <w:tcW w:w="1707" w:type="dxa"/>
            <w:tcBorders>
              <w:top w:val="nil"/>
              <w:left w:val="nil"/>
              <w:bottom w:val="single" w:color="auto" w:sz="4" w:space="0"/>
              <w:right w:val="single" w:color="auto" w:sz="4" w:space="0"/>
            </w:tcBorders>
            <w:shd w:val="clear" w:color="auto" w:fill="auto"/>
            <w:vAlign w:val="center"/>
          </w:tcPr>
          <w:p w14:paraId="2202DE53">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1400</w:t>
            </w:r>
          </w:p>
        </w:tc>
        <w:tc>
          <w:tcPr>
            <w:tcW w:w="1409" w:type="dxa"/>
            <w:tcBorders>
              <w:top w:val="nil"/>
              <w:left w:val="nil"/>
              <w:bottom w:val="single" w:color="auto" w:sz="4" w:space="0"/>
              <w:right w:val="single" w:color="auto" w:sz="4" w:space="0"/>
            </w:tcBorders>
            <w:shd w:val="clear" w:color="auto" w:fill="auto"/>
            <w:vAlign w:val="center"/>
          </w:tcPr>
          <w:p w14:paraId="461ABD75">
            <w:pPr>
              <w:keepNext w:val="0"/>
              <w:keepLines w:val="0"/>
              <w:widowControl/>
              <w:suppressLineNumbers w:val="0"/>
              <w:jc w:val="center"/>
              <w:textAlignment w:val="center"/>
              <w:rPr>
                <w:rFonts w:hint="eastAsia" w:ascii="宋体" w:hAnsi="宋体" w:eastAsia="宋体" w:cs="宋体"/>
                <w:sz w:val="24"/>
                <w:szCs w:val="24"/>
                <w:highlight w:val="none"/>
              </w:rPr>
            </w:pPr>
          </w:p>
        </w:tc>
      </w:tr>
      <w:tr w14:paraId="5195A68F">
        <w:tblPrEx>
          <w:tblCellMar>
            <w:top w:w="0" w:type="dxa"/>
            <w:left w:w="108" w:type="dxa"/>
            <w:bottom w:w="0" w:type="dxa"/>
            <w:right w:w="108" w:type="dxa"/>
          </w:tblCellMar>
        </w:tblPrEx>
        <w:trPr>
          <w:cantSplit/>
          <w:trHeight w:val="405" w:hRule="atLeast"/>
          <w:jc w:val="center"/>
        </w:trPr>
        <w:tc>
          <w:tcPr>
            <w:tcW w:w="4035" w:type="dxa"/>
            <w:tcBorders>
              <w:top w:val="nil"/>
              <w:left w:val="single" w:color="auto" w:sz="4" w:space="0"/>
              <w:bottom w:val="single" w:color="auto" w:sz="4" w:space="0"/>
              <w:right w:val="single" w:color="auto" w:sz="4" w:space="0"/>
            </w:tcBorders>
            <w:shd w:val="clear" w:color="auto" w:fill="auto"/>
            <w:vAlign w:val="center"/>
          </w:tcPr>
          <w:p w14:paraId="167420D7">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 xml:space="preserve">      资源税</w:t>
            </w:r>
          </w:p>
        </w:tc>
        <w:tc>
          <w:tcPr>
            <w:tcW w:w="1707" w:type="dxa"/>
            <w:tcBorders>
              <w:top w:val="nil"/>
              <w:left w:val="nil"/>
              <w:bottom w:val="single" w:color="auto" w:sz="4" w:space="0"/>
              <w:right w:val="single" w:color="auto" w:sz="4" w:space="0"/>
            </w:tcBorders>
            <w:shd w:val="clear" w:color="auto" w:fill="auto"/>
            <w:vAlign w:val="center"/>
          </w:tcPr>
          <w:p w14:paraId="61B0BFAF">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2"/>
                <w:szCs w:val="22"/>
                <w:u w:val="none"/>
                <w:lang w:val="en-US" w:eastAsia="zh-CN" w:bidi="ar"/>
              </w:rPr>
              <w:t>6117</w:t>
            </w:r>
          </w:p>
        </w:tc>
        <w:tc>
          <w:tcPr>
            <w:tcW w:w="1707" w:type="dxa"/>
            <w:tcBorders>
              <w:top w:val="nil"/>
              <w:left w:val="nil"/>
              <w:bottom w:val="single" w:color="auto" w:sz="4" w:space="0"/>
              <w:right w:val="single" w:color="auto" w:sz="4" w:space="0"/>
            </w:tcBorders>
            <w:shd w:val="clear" w:color="auto" w:fill="auto"/>
            <w:vAlign w:val="center"/>
          </w:tcPr>
          <w:p w14:paraId="594E6CC3">
            <w:pPr>
              <w:keepNext w:val="0"/>
              <w:keepLines w:val="0"/>
              <w:widowControl/>
              <w:suppressLineNumbers w:val="0"/>
              <w:jc w:val="center"/>
              <w:textAlignment w:val="center"/>
              <w:rPr>
                <w:rFonts w:hint="default" w:ascii="宋体" w:hAnsi="宋体" w:eastAsia="宋体" w:cs="宋体"/>
                <w:sz w:val="24"/>
                <w:szCs w:val="24"/>
                <w:highlight w:val="none"/>
                <w:lang w:val="en-US"/>
              </w:rPr>
            </w:pPr>
            <w:r>
              <w:rPr>
                <w:rFonts w:hint="eastAsia" w:ascii="宋体" w:hAnsi="宋体" w:eastAsia="宋体" w:cs="宋体"/>
                <w:i w:val="0"/>
                <w:color w:val="000000"/>
                <w:kern w:val="0"/>
                <w:sz w:val="22"/>
                <w:szCs w:val="22"/>
                <w:u w:val="none"/>
                <w:lang w:val="en-US" w:eastAsia="zh-CN" w:bidi="ar"/>
              </w:rPr>
              <w:t>9000</w:t>
            </w:r>
          </w:p>
        </w:tc>
        <w:tc>
          <w:tcPr>
            <w:tcW w:w="1409" w:type="dxa"/>
            <w:tcBorders>
              <w:top w:val="nil"/>
              <w:left w:val="nil"/>
              <w:bottom w:val="single" w:color="auto" w:sz="4" w:space="0"/>
              <w:right w:val="single" w:color="auto" w:sz="4" w:space="0"/>
            </w:tcBorders>
            <w:shd w:val="clear" w:color="auto" w:fill="auto"/>
            <w:vAlign w:val="center"/>
          </w:tcPr>
          <w:p w14:paraId="70A50ACD">
            <w:pPr>
              <w:keepNext w:val="0"/>
              <w:keepLines w:val="0"/>
              <w:widowControl/>
              <w:suppressLineNumbers w:val="0"/>
              <w:jc w:val="center"/>
              <w:textAlignment w:val="center"/>
              <w:rPr>
                <w:rFonts w:hint="eastAsia" w:ascii="宋体" w:hAnsi="宋体" w:eastAsia="宋体" w:cs="宋体"/>
                <w:sz w:val="24"/>
                <w:szCs w:val="24"/>
                <w:highlight w:val="none"/>
              </w:rPr>
            </w:pPr>
          </w:p>
        </w:tc>
      </w:tr>
      <w:tr w14:paraId="5DA05E4F">
        <w:tblPrEx>
          <w:tblCellMar>
            <w:top w:w="0" w:type="dxa"/>
            <w:left w:w="108" w:type="dxa"/>
            <w:bottom w:w="0" w:type="dxa"/>
            <w:right w:w="108" w:type="dxa"/>
          </w:tblCellMar>
        </w:tblPrEx>
        <w:trPr>
          <w:cantSplit/>
          <w:trHeight w:val="405" w:hRule="atLeast"/>
          <w:jc w:val="center"/>
        </w:trPr>
        <w:tc>
          <w:tcPr>
            <w:tcW w:w="4035" w:type="dxa"/>
            <w:tcBorders>
              <w:top w:val="nil"/>
              <w:left w:val="single" w:color="auto" w:sz="4" w:space="0"/>
              <w:bottom w:val="single" w:color="auto" w:sz="4" w:space="0"/>
              <w:right w:val="single" w:color="auto" w:sz="4" w:space="0"/>
            </w:tcBorders>
            <w:shd w:val="clear" w:color="auto" w:fill="auto"/>
            <w:vAlign w:val="center"/>
          </w:tcPr>
          <w:p w14:paraId="7EBEBE30">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 xml:space="preserve">      城市维护建设税</w:t>
            </w:r>
          </w:p>
        </w:tc>
        <w:tc>
          <w:tcPr>
            <w:tcW w:w="1707" w:type="dxa"/>
            <w:tcBorders>
              <w:top w:val="nil"/>
              <w:left w:val="nil"/>
              <w:bottom w:val="single" w:color="auto" w:sz="4" w:space="0"/>
              <w:right w:val="single" w:color="auto" w:sz="4" w:space="0"/>
            </w:tcBorders>
            <w:shd w:val="clear" w:color="auto" w:fill="auto"/>
            <w:vAlign w:val="center"/>
          </w:tcPr>
          <w:p w14:paraId="2CEBA8C0">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1926</w:t>
            </w:r>
          </w:p>
        </w:tc>
        <w:tc>
          <w:tcPr>
            <w:tcW w:w="1707" w:type="dxa"/>
            <w:tcBorders>
              <w:top w:val="nil"/>
              <w:left w:val="nil"/>
              <w:bottom w:val="single" w:color="auto" w:sz="4" w:space="0"/>
              <w:right w:val="single" w:color="auto" w:sz="4" w:space="0"/>
            </w:tcBorders>
            <w:shd w:val="clear" w:color="auto" w:fill="auto"/>
            <w:vAlign w:val="center"/>
          </w:tcPr>
          <w:p w14:paraId="7F835F8E">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2000</w:t>
            </w:r>
          </w:p>
        </w:tc>
        <w:tc>
          <w:tcPr>
            <w:tcW w:w="1409" w:type="dxa"/>
            <w:tcBorders>
              <w:top w:val="nil"/>
              <w:left w:val="nil"/>
              <w:bottom w:val="single" w:color="auto" w:sz="4" w:space="0"/>
              <w:right w:val="single" w:color="auto" w:sz="4" w:space="0"/>
            </w:tcBorders>
            <w:shd w:val="clear" w:color="auto" w:fill="auto"/>
            <w:vAlign w:val="center"/>
          </w:tcPr>
          <w:p w14:paraId="566E5B0A">
            <w:pPr>
              <w:keepNext w:val="0"/>
              <w:keepLines w:val="0"/>
              <w:widowControl/>
              <w:suppressLineNumbers w:val="0"/>
              <w:jc w:val="center"/>
              <w:textAlignment w:val="center"/>
              <w:rPr>
                <w:rFonts w:hint="eastAsia" w:ascii="宋体" w:hAnsi="宋体" w:eastAsia="宋体" w:cs="宋体"/>
                <w:sz w:val="24"/>
                <w:szCs w:val="24"/>
                <w:highlight w:val="none"/>
              </w:rPr>
            </w:pPr>
          </w:p>
        </w:tc>
      </w:tr>
      <w:tr w14:paraId="1B41E5D0">
        <w:tblPrEx>
          <w:tblCellMar>
            <w:top w:w="0" w:type="dxa"/>
            <w:left w:w="108" w:type="dxa"/>
            <w:bottom w:w="0" w:type="dxa"/>
            <w:right w:w="108" w:type="dxa"/>
          </w:tblCellMar>
        </w:tblPrEx>
        <w:trPr>
          <w:cantSplit/>
          <w:trHeight w:val="405" w:hRule="atLeast"/>
          <w:jc w:val="center"/>
        </w:trPr>
        <w:tc>
          <w:tcPr>
            <w:tcW w:w="4035" w:type="dxa"/>
            <w:tcBorders>
              <w:top w:val="nil"/>
              <w:left w:val="single" w:color="auto" w:sz="4" w:space="0"/>
              <w:bottom w:val="single" w:color="auto" w:sz="4" w:space="0"/>
              <w:right w:val="single" w:color="auto" w:sz="4" w:space="0"/>
            </w:tcBorders>
            <w:shd w:val="clear" w:color="auto" w:fill="auto"/>
            <w:vAlign w:val="center"/>
          </w:tcPr>
          <w:p w14:paraId="5DE58477">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 xml:space="preserve">      房产税</w:t>
            </w:r>
          </w:p>
        </w:tc>
        <w:tc>
          <w:tcPr>
            <w:tcW w:w="1707" w:type="dxa"/>
            <w:tcBorders>
              <w:top w:val="nil"/>
              <w:left w:val="nil"/>
              <w:bottom w:val="single" w:color="auto" w:sz="4" w:space="0"/>
              <w:right w:val="single" w:color="auto" w:sz="4" w:space="0"/>
            </w:tcBorders>
            <w:shd w:val="clear" w:color="auto" w:fill="auto"/>
            <w:vAlign w:val="center"/>
          </w:tcPr>
          <w:p w14:paraId="030D78AA">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4332</w:t>
            </w:r>
          </w:p>
        </w:tc>
        <w:tc>
          <w:tcPr>
            <w:tcW w:w="1707" w:type="dxa"/>
            <w:tcBorders>
              <w:top w:val="nil"/>
              <w:left w:val="nil"/>
              <w:bottom w:val="single" w:color="auto" w:sz="4" w:space="0"/>
              <w:right w:val="single" w:color="auto" w:sz="4" w:space="0"/>
            </w:tcBorders>
            <w:shd w:val="clear" w:color="auto" w:fill="auto"/>
            <w:vAlign w:val="center"/>
          </w:tcPr>
          <w:p w14:paraId="11B3BD16">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6000</w:t>
            </w:r>
          </w:p>
        </w:tc>
        <w:tc>
          <w:tcPr>
            <w:tcW w:w="1409" w:type="dxa"/>
            <w:tcBorders>
              <w:top w:val="nil"/>
              <w:left w:val="nil"/>
              <w:bottom w:val="single" w:color="auto" w:sz="4" w:space="0"/>
              <w:right w:val="single" w:color="auto" w:sz="4" w:space="0"/>
            </w:tcBorders>
            <w:shd w:val="clear" w:color="auto" w:fill="auto"/>
            <w:vAlign w:val="center"/>
          </w:tcPr>
          <w:p w14:paraId="4BB5F97D">
            <w:pPr>
              <w:keepNext w:val="0"/>
              <w:keepLines w:val="0"/>
              <w:widowControl/>
              <w:suppressLineNumbers w:val="0"/>
              <w:jc w:val="center"/>
              <w:textAlignment w:val="center"/>
              <w:rPr>
                <w:rFonts w:hint="eastAsia" w:ascii="宋体" w:hAnsi="宋体" w:eastAsia="宋体" w:cs="宋体"/>
                <w:sz w:val="24"/>
                <w:szCs w:val="24"/>
                <w:highlight w:val="none"/>
              </w:rPr>
            </w:pPr>
          </w:p>
        </w:tc>
      </w:tr>
      <w:tr w14:paraId="286A36D3">
        <w:tblPrEx>
          <w:tblCellMar>
            <w:top w:w="0" w:type="dxa"/>
            <w:left w:w="108" w:type="dxa"/>
            <w:bottom w:w="0" w:type="dxa"/>
            <w:right w:w="108" w:type="dxa"/>
          </w:tblCellMar>
        </w:tblPrEx>
        <w:trPr>
          <w:cantSplit/>
          <w:trHeight w:val="405" w:hRule="atLeast"/>
          <w:jc w:val="center"/>
        </w:trPr>
        <w:tc>
          <w:tcPr>
            <w:tcW w:w="4035" w:type="dxa"/>
            <w:tcBorders>
              <w:top w:val="nil"/>
              <w:left w:val="single" w:color="auto" w:sz="4" w:space="0"/>
              <w:bottom w:val="single" w:color="auto" w:sz="4" w:space="0"/>
              <w:right w:val="single" w:color="auto" w:sz="4" w:space="0"/>
            </w:tcBorders>
            <w:shd w:val="clear" w:color="auto" w:fill="auto"/>
            <w:vAlign w:val="center"/>
          </w:tcPr>
          <w:p w14:paraId="6A1FDE35">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 xml:space="preserve">      印花税</w:t>
            </w:r>
          </w:p>
        </w:tc>
        <w:tc>
          <w:tcPr>
            <w:tcW w:w="1707" w:type="dxa"/>
            <w:tcBorders>
              <w:top w:val="nil"/>
              <w:left w:val="nil"/>
              <w:bottom w:val="single" w:color="auto" w:sz="4" w:space="0"/>
              <w:right w:val="single" w:color="auto" w:sz="4" w:space="0"/>
            </w:tcBorders>
            <w:shd w:val="clear" w:color="auto" w:fill="auto"/>
            <w:vAlign w:val="center"/>
          </w:tcPr>
          <w:p w14:paraId="350A1EF8">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1919</w:t>
            </w:r>
          </w:p>
        </w:tc>
        <w:tc>
          <w:tcPr>
            <w:tcW w:w="1707" w:type="dxa"/>
            <w:tcBorders>
              <w:top w:val="nil"/>
              <w:left w:val="nil"/>
              <w:bottom w:val="single" w:color="auto" w:sz="4" w:space="0"/>
              <w:right w:val="single" w:color="auto" w:sz="4" w:space="0"/>
            </w:tcBorders>
            <w:shd w:val="clear" w:color="auto" w:fill="auto"/>
            <w:vAlign w:val="center"/>
          </w:tcPr>
          <w:p w14:paraId="4BE133B5">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2600</w:t>
            </w:r>
          </w:p>
        </w:tc>
        <w:tc>
          <w:tcPr>
            <w:tcW w:w="1409" w:type="dxa"/>
            <w:tcBorders>
              <w:top w:val="nil"/>
              <w:left w:val="nil"/>
              <w:bottom w:val="single" w:color="auto" w:sz="4" w:space="0"/>
              <w:right w:val="single" w:color="auto" w:sz="4" w:space="0"/>
            </w:tcBorders>
            <w:shd w:val="clear" w:color="auto" w:fill="auto"/>
            <w:vAlign w:val="center"/>
          </w:tcPr>
          <w:p w14:paraId="209BCC24">
            <w:pPr>
              <w:keepNext w:val="0"/>
              <w:keepLines w:val="0"/>
              <w:widowControl/>
              <w:suppressLineNumbers w:val="0"/>
              <w:jc w:val="center"/>
              <w:textAlignment w:val="center"/>
              <w:rPr>
                <w:rFonts w:hint="eastAsia" w:ascii="宋体" w:hAnsi="宋体" w:eastAsia="宋体" w:cs="宋体"/>
                <w:sz w:val="24"/>
                <w:szCs w:val="24"/>
                <w:highlight w:val="none"/>
              </w:rPr>
            </w:pPr>
          </w:p>
        </w:tc>
      </w:tr>
      <w:tr w14:paraId="4DD4EDD0">
        <w:tblPrEx>
          <w:tblCellMar>
            <w:top w:w="0" w:type="dxa"/>
            <w:left w:w="108" w:type="dxa"/>
            <w:bottom w:w="0" w:type="dxa"/>
            <w:right w:w="108" w:type="dxa"/>
          </w:tblCellMar>
        </w:tblPrEx>
        <w:trPr>
          <w:cantSplit/>
          <w:trHeight w:val="405" w:hRule="atLeast"/>
          <w:jc w:val="center"/>
        </w:trPr>
        <w:tc>
          <w:tcPr>
            <w:tcW w:w="4035" w:type="dxa"/>
            <w:tcBorders>
              <w:top w:val="nil"/>
              <w:left w:val="single" w:color="auto" w:sz="4" w:space="0"/>
              <w:bottom w:val="single" w:color="auto" w:sz="4" w:space="0"/>
              <w:right w:val="single" w:color="auto" w:sz="4" w:space="0"/>
            </w:tcBorders>
            <w:shd w:val="clear" w:color="auto" w:fill="auto"/>
            <w:vAlign w:val="center"/>
          </w:tcPr>
          <w:p w14:paraId="7A1EB39A">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 xml:space="preserve">      城镇土地使用税</w:t>
            </w:r>
          </w:p>
        </w:tc>
        <w:tc>
          <w:tcPr>
            <w:tcW w:w="1707" w:type="dxa"/>
            <w:tcBorders>
              <w:top w:val="nil"/>
              <w:left w:val="nil"/>
              <w:bottom w:val="single" w:color="auto" w:sz="4" w:space="0"/>
              <w:right w:val="single" w:color="auto" w:sz="4" w:space="0"/>
            </w:tcBorders>
            <w:shd w:val="clear" w:color="auto" w:fill="auto"/>
            <w:vAlign w:val="center"/>
          </w:tcPr>
          <w:p w14:paraId="7C28A9A3">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2"/>
                <w:szCs w:val="22"/>
                <w:u w:val="none"/>
                <w:lang w:val="en-US" w:eastAsia="zh-CN" w:bidi="ar"/>
              </w:rPr>
              <w:t>7350</w:t>
            </w:r>
          </w:p>
        </w:tc>
        <w:tc>
          <w:tcPr>
            <w:tcW w:w="1707" w:type="dxa"/>
            <w:tcBorders>
              <w:top w:val="nil"/>
              <w:left w:val="nil"/>
              <w:bottom w:val="single" w:color="auto" w:sz="4" w:space="0"/>
              <w:right w:val="single" w:color="auto" w:sz="4" w:space="0"/>
            </w:tcBorders>
            <w:shd w:val="clear" w:color="auto" w:fill="auto"/>
            <w:vAlign w:val="center"/>
          </w:tcPr>
          <w:p w14:paraId="5D90F444">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9000</w:t>
            </w:r>
          </w:p>
        </w:tc>
        <w:tc>
          <w:tcPr>
            <w:tcW w:w="1409" w:type="dxa"/>
            <w:tcBorders>
              <w:top w:val="nil"/>
              <w:left w:val="nil"/>
              <w:bottom w:val="single" w:color="auto" w:sz="4" w:space="0"/>
              <w:right w:val="single" w:color="auto" w:sz="4" w:space="0"/>
            </w:tcBorders>
            <w:shd w:val="clear" w:color="auto" w:fill="auto"/>
            <w:vAlign w:val="center"/>
          </w:tcPr>
          <w:p w14:paraId="03CDCB45">
            <w:pPr>
              <w:keepNext w:val="0"/>
              <w:keepLines w:val="0"/>
              <w:widowControl/>
              <w:suppressLineNumbers w:val="0"/>
              <w:jc w:val="center"/>
              <w:textAlignment w:val="center"/>
              <w:rPr>
                <w:rFonts w:hint="eastAsia" w:ascii="宋体" w:hAnsi="宋体" w:eastAsia="宋体" w:cs="宋体"/>
                <w:sz w:val="24"/>
                <w:szCs w:val="24"/>
                <w:highlight w:val="none"/>
              </w:rPr>
            </w:pPr>
          </w:p>
        </w:tc>
      </w:tr>
      <w:tr w14:paraId="753CA3BB">
        <w:tblPrEx>
          <w:tblCellMar>
            <w:top w:w="0" w:type="dxa"/>
            <w:left w:w="108" w:type="dxa"/>
            <w:bottom w:w="0" w:type="dxa"/>
            <w:right w:w="108" w:type="dxa"/>
          </w:tblCellMar>
        </w:tblPrEx>
        <w:trPr>
          <w:cantSplit/>
          <w:trHeight w:val="405" w:hRule="atLeast"/>
          <w:jc w:val="center"/>
        </w:trPr>
        <w:tc>
          <w:tcPr>
            <w:tcW w:w="4035" w:type="dxa"/>
            <w:tcBorders>
              <w:top w:val="nil"/>
              <w:left w:val="single" w:color="auto" w:sz="4" w:space="0"/>
              <w:bottom w:val="single" w:color="auto" w:sz="4" w:space="0"/>
              <w:right w:val="single" w:color="auto" w:sz="4" w:space="0"/>
            </w:tcBorders>
            <w:shd w:val="clear" w:color="auto" w:fill="auto"/>
            <w:vAlign w:val="center"/>
          </w:tcPr>
          <w:p w14:paraId="0862DE3C">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 xml:space="preserve">      土地增值税</w:t>
            </w:r>
          </w:p>
        </w:tc>
        <w:tc>
          <w:tcPr>
            <w:tcW w:w="1707" w:type="dxa"/>
            <w:tcBorders>
              <w:top w:val="nil"/>
              <w:left w:val="nil"/>
              <w:bottom w:val="single" w:color="auto" w:sz="4" w:space="0"/>
              <w:right w:val="single" w:color="auto" w:sz="4" w:space="0"/>
            </w:tcBorders>
            <w:shd w:val="clear" w:color="auto" w:fill="auto"/>
            <w:vAlign w:val="center"/>
          </w:tcPr>
          <w:p w14:paraId="39726A7D">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26136</w:t>
            </w:r>
          </w:p>
        </w:tc>
        <w:tc>
          <w:tcPr>
            <w:tcW w:w="1707" w:type="dxa"/>
            <w:tcBorders>
              <w:top w:val="nil"/>
              <w:left w:val="nil"/>
              <w:bottom w:val="single" w:color="auto" w:sz="4" w:space="0"/>
              <w:right w:val="single" w:color="auto" w:sz="4" w:space="0"/>
            </w:tcBorders>
            <w:shd w:val="clear" w:color="auto" w:fill="auto"/>
            <w:vAlign w:val="center"/>
          </w:tcPr>
          <w:p w14:paraId="7E6F1557">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16000</w:t>
            </w:r>
          </w:p>
        </w:tc>
        <w:tc>
          <w:tcPr>
            <w:tcW w:w="1409" w:type="dxa"/>
            <w:tcBorders>
              <w:top w:val="nil"/>
              <w:left w:val="nil"/>
              <w:bottom w:val="single" w:color="auto" w:sz="4" w:space="0"/>
              <w:right w:val="single" w:color="auto" w:sz="4" w:space="0"/>
            </w:tcBorders>
            <w:shd w:val="clear" w:color="auto" w:fill="auto"/>
            <w:vAlign w:val="center"/>
          </w:tcPr>
          <w:p w14:paraId="65CED0C3">
            <w:pPr>
              <w:keepNext w:val="0"/>
              <w:keepLines w:val="0"/>
              <w:widowControl/>
              <w:suppressLineNumbers w:val="0"/>
              <w:jc w:val="center"/>
              <w:textAlignment w:val="center"/>
              <w:rPr>
                <w:rFonts w:hint="eastAsia" w:ascii="宋体" w:hAnsi="宋体" w:eastAsia="宋体" w:cs="宋体"/>
                <w:sz w:val="24"/>
                <w:szCs w:val="24"/>
                <w:highlight w:val="none"/>
              </w:rPr>
            </w:pPr>
          </w:p>
        </w:tc>
      </w:tr>
      <w:tr w14:paraId="20E106A2">
        <w:tblPrEx>
          <w:tblCellMar>
            <w:top w:w="0" w:type="dxa"/>
            <w:left w:w="108" w:type="dxa"/>
            <w:bottom w:w="0" w:type="dxa"/>
            <w:right w:w="108" w:type="dxa"/>
          </w:tblCellMar>
        </w:tblPrEx>
        <w:trPr>
          <w:cantSplit/>
          <w:trHeight w:val="405" w:hRule="atLeast"/>
          <w:jc w:val="center"/>
        </w:trPr>
        <w:tc>
          <w:tcPr>
            <w:tcW w:w="4035" w:type="dxa"/>
            <w:tcBorders>
              <w:top w:val="nil"/>
              <w:left w:val="single" w:color="auto" w:sz="4" w:space="0"/>
              <w:bottom w:val="single" w:color="auto" w:sz="4" w:space="0"/>
              <w:right w:val="single" w:color="auto" w:sz="4" w:space="0"/>
            </w:tcBorders>
            <w:shd w:val="clear" w:color="auto" w:fill="auto"/>
            <w:vAlign w:val="center"/>
          </w:tcPr>
          <w:p w14:paraId="5E5475DA">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 xml:space="preserve">      车船税</w:t>
            </w:r>
          </w:p>
        </w:tc>
        <w:tc>
          <w:tcPr>
            <w:tcW w:w="1707" w:type="dxa"/>
            <w:tcBorders>
              <w:top w:val="nil"/>
              <w:left w:val="nil"/>
              <w:bottom w:val="single" w:color="auto" w:sz="4" w:space="0"/>
              <w:right w:val="single" w:color="auto" w:sz="4" w:space="0"/>
            </w:tcBorders>
            <w:shd w:val="clear" w:color="auto" w:fill="auto"/>
            <w:vAlign w:val="center"/>
          </w:tcPr>
          <w:p w14:paraId="2B25D0A0">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4007</w:t>
            </w:r>
          </w:p>
        </w:tc>
        <w:tc>
          <w:tcPr>
            <w:tcW w:w="1707" w:type="dxa"/>
            <w:tcBorders>
              <w:top w:val="nil"/>
              <w:left w:val="nil"/>
              <w:bottom w:val="single" w:color="auto" w:sz="4" w:space="0"/>
              <w:right w:val="single" w:color="auto" w:sz="4" w:space="0"/>
            </w:tcBorders>
            <w:shd w:val="clear" w:color="auto" w:fill="auto"/>
            <w:vAlign w:val="center"/>
          </w:tcPr>
          <w:p w14:paraId="3BEE0852">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4000</w:t>
            </w:r>
          </w:p>
        </w:tc>
        <w:tc>
          <w:tcPr>
            <w:tcW w:w="1409" w:type="dxa"/>
            <w:tcBorders>
              <w:top w:val="nil"/>
              <w:left w:val="nil"/>
              <w:bottom w:val="single" w:color="auto" w:sz="4" w:space="0"/>
              <w:right w:val="single" w:color="auto" w:sz="4" w:space="0"/>
            </w:tcBorders>
            <w:shd w:val="clear" w:color="auto" w:fill="auto"/>
            <w:vAlign w:val="center"/>
          </w:tcPr>
          <w:p w14:paraId="3BA8161C">
            <w:pPr>
              <w:keepNext w:val="0"/>
              <w:keepLines w:val="0"/>
              <w:widowControl/>
              <w:suppressLineNumbers w:val="0"/>
              <w:jc w:val="center"/>
              <w:textAlignment w:val="center"/>
              <w:rPr>
                <w:rFonts w:hint="eastAsia" w:ascii="宋体" w:hAnsi="宋体" w:eastAsia="宋体" w:cs="宋体"/>
                <w:sz w:val="24"/>
                <w:szCs w:val="24"/>
                <w:highlight w:val="none"/>
              </w:rPr>
            </w:pPr>
          </w:p>
        </w:tc>
      </w:tr>
      <w:tr w14:paraId="7E7B61BE">
        <w:tblPrEx>
          <w:tblCellMar>
            <w:top w:w="0" w:type="dxa"/>
            <w:left w:w="108" w:type="dxa"/>
            <w:bottom w:w="0" w:type="dxa"/>
            <w:right w:w="108" w:type="dxa"/>
          </w:tblCellMar>
        </w:tblPrEx>
        <w:trPr>
          <w:cantSplit/>
          <w:trHeight w:val="405" w:hRule="atLeast"/>
          <w:jc w:val="center"/>
        </w:trPr>
        <w:tc>
          <w:tcPr>
            <w:tcW w:w="4035" w:type="dxa"/>
            <w:tcBorders>
              <w:top w:val="nil"/>
              <w:left w:val="single" w:color="auto" w:sz="4" w:space="0"/>
              <w:bottom w:val="single" w:color="auto" w:sz="4" w:space="0"/>
              <w:right w:val="single" w:color="auto" w:sz="4" w:space="0"/>
            </w:tcBorders>
            <w:shd w:val="clear" w:color="auto" w:fill="auto"/>
            <w:vAlign w:val="center"/>
          </w:tcPr>
          <w:p w14:paraId="69075DDC">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 xml:space="preserve">      耕地占用税</w:t>
            </w:r>
          </w:p>
        </w:tc>
        <w:tc>
          <w:tcPr>
            <w:tcW w:w="1707" w:type="dxa"/>
            <w:tcBorders>
              <w:top w:val="nil"/>
              <w:left w:val="nil"/>
              <w:bottom w:val="single" w:color="auto" w:sz="4" w:space="0"/>
              <w:right w:val="single" w:color="auto" w:sz="4" w:space="0"/>
            </w:tcBorders>
            <w:shd w:val="clear" w:color="auto" w:fill="auto"/>
            <w:vAlign w:val="center"/>
          </w:tcPr>
          <w:p w14:paraId="11BF8577">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13382</w:t>
            </w:r>
          </w:p>
        </w:tc>
        <w:tc>
          <w:tcPr>
            <w:tcW w:w="1707" w:type="dxa"/>
            <w:tcBorders>
              <w:top w:val="nil"/>
              <w:left w:val="nil"/>
              <w:bottom w:val="single" w:color="auto" w:sz="4" w:space="0"/>
              <w:right w:val="single" w:color="auto" w:sz="4" w:space="0"/>
            </w:tcBorders>
            <w:shd w:val="clear" w:color="auto" w:fill="auto"/>
            <w:vAlign w:val="center"/>
          </w:tcPr>
          <w:p w14:paraId="204E99DB">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15000</w:t>
            </w:r>
          </w:p>
        </w:tc>
        <w:tc>
          <w:tcPr>
            <w:tcW w:w="1409" w:type="dxa"/>
            <w:tcBorders>
              <w:top w:val="nil"/>
              <w:left w:val="nil"/>
              <w:bottom w:val="single" w:color="auto" w:sz="4" w:space="0"/>
              <w:right w:val="single" w:color="auto" w:sz="4" w:space="0"/>
            </w:tcBorders>
            <w:shd w:val="clear" w:color="auto" w:fill="auto"/>
            <w:vAlign w:val="center"/>
          </w:tcPr>
          <w:p w14:paraId="48379278">
            <w:pPr>
              <w:keepNext w:val="0"/>
              <w:keepLines w:val="0"/>
              <w:widowControl/>
              <w:suppressLineNumbers w:val="0"/>
              <w:jc w:val="center"/>
              <w:textAlignment w:val="center"/>
              <w:rPr>
                <w:rFonts w:hint="eastAsia" w:ascii="宋体" w:hAnsi="宋体" w:eastAsia="宋体" w:cs="宋体"/>
                <w:sz w:val="24"/>
                <w:szCs w:val="24"/>
                <w:highlight w:val="none"/>
              </w:rPr>
            </w:pPr>
          </w:p>
        </w:tc>
      </w:tr>
      <w:tr w14:paraId="38BCC309">
        <w:tblPrEx>
          <w:tblCellMar>
            <w:top w:w="0" w:type="dxa"/>
            <w:left w:w="108" w:type="dxa"/>
            <w:bottom w:w="0" w:type="dxa"/>
            <w:right w:w="108" w:type="dxa"/>
          </w:tblCellMar>
        </w:tblPrEx>
        <w:trPr>
          <w:cantSplit/>
          <w:trHeight w:val="405" w:hRule="atLeast"/>
          <w:jc w:val="center"/>
        </w:trPr>
        <w:tc>
          <w:tcPr>
            <w:tcW w:w="4035" w:type="dxa"/>
            <w:tcBorders>
              <w:top w:val="nil"/>
              <w:left w:val="single" w:color="auto" w:sz="4" w:space="0"/>
              <w:bottom w:val="single" w:color="auto" w:sz="4" w:space="0"/>
              <w:right w:val="single" w:color="auto" w:sz="4" w:space="0"/>
            </w:tcBorders>
            <w:shd w:val="clear" w:color="auto" w:fill="auto"/>
            <w:vAlign w:val="center"/>
          </w:tcPr>
          <w:p w14:paraId="071AC406">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 xml:space="preserve">      契税</w:t>
            </w:r>
          </w:p>
        </w:tc>
        <w:tc>
          <w:tcPr>
            <w:tcW w:w="1707" w:type="dxa"/>
            <w:tcBorders>
              <w:top w:val="nil"/>
              <w:left w:val="nil"/>
              <w:bottom w:val="single" w:color="auto" w:sz="4" w:space="0"/>
              <w:right w:val="single" w:color="auto" w:sz="4" w:space="0"/>
            </w:tcBorders>
            <w:shd w:val="clear" w:color="auto" w:fill="auto"/>
            <w:vAlign w:val="center"/>
          </w:tcPr>
          <w:p w14:paraId="671E4666">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10431</w:t>
            </w:r>
          </w:p>
        </w:tc>
        <w:tc>
          <w:tcPr>
            <w:tcW w:w="1707" w:type="dxa"/>
            <w:tcBorders>
              <w:top w:val="nil"/>
              <w:left w:val="nil"/>
              <w:bottom w:val="single" w:color="auto" w:sz="4" w:space="0"/>
              <w:right w:val="single" w:color="auto" w:sz="4" w:space="0"/>
            </w:tcBorders>
            <w:shd w:val="clear" w:color="auto" w:fill="auto"/>
            <w:vAlign w:val="center"/>
          </w:tcPr>
          <w:p w14:paraId="0A2BED12">
            <w:pPr>
              <w:keepNext w:val="0"/>
              <w:keepLines w:val="0"/>
              <w:widowControl/>
              <w:suppressLineNumbers w:val="0"/>
              <w:jc w:val="center"/>
              <w:textAlignment w:val="center"/>
              <w:rPr>
                <w:rFonts w:hint="default" w:ascii="宋体" w:hAnsi="宋体" w:eastAsia="宋体" w:cs="宋体"/>
                <w:sz w:val="24"/>
                <w:szCs w:val="24"/>
                <w:highlight w:val="none"/>
                <w:lang w:val="en-US"/>
              </w:rPr>
            </w:pPr>
            <w:r>
              <w:rPr>
                <w:rFonts w:hint="eastAsia" w:ascii="宋体" w:hAnsi="宋体" w:eastAsia="宋体" w:cs="宋体"/>
                <w:i w:val="0"/>
                <w:color w:val="000000"/>
                <w:kern w:val="0"/>
                <w:sz w:val="22"/>
                <w:szCs w:val="22"/>
                <w:u w:val="none"/>
                <w:lang w:val="en-US" w:eastAsia="zh-CN" w:bidi="ar"/>
              </w:rPr>
              <w:t>18000</w:t>
            </w:r>
          </w:p>
        </w:tc>
        <w:tc>
          <w:tcPr>
            <w:tcW w:w="1409" w:type="dxa"/>
            <w:tcBorders>
              <w:top w:val="nil"/>
              <w:left w:val="nil"/>
              <w:bottom w:val="single" w:color="auto" w:sz="4" w:space="0"/>
              <w:right w:val="single" w:color="auto" w:sz="4" w:space="0"/>
            </w:tcBorders>
            <w:shd w:val="clear" w:color="auto" w:fill="auto"/>
            <w:vAlign w:val="center"/>
          </w:tcPr>
          <w:p w14:paraId="1C0EB352">
            <w:pPr>
              <w:keepNext w:val="0"/>
              <w:keepLines w:val="0"/>
              <w:widowControl/>
              <w:suppressLineNumbers w:val="0"/>
              <w:jc w:val="center"/>
              <w:textAlignment w:val="center"/>
              <w:rPr>
                <w:rFonts w:hint="eastAsia" w:ascii="宋体" w:hAnsi="宋体" w:eastAsia="宋体" w:cs="宋体"/>
                <w:sz w:val="24"/>
                <w:szCs w:val="24"/>
                <w:highlight w:val="none"/>
              </w:rPr>
            </w:pPr>
          </w:p>
        </w:tc>
      </w:tr>
      <w:tr w14:paraId="36C49EDD">
        <w:tblPrEx>
          <w:tblCellMar>
            <w:top w:w="0" w:type="dxa"/>
            <w:left w:w="108" w:type="dxa"/>
            <w:bottom w:w="0" w:type="dxa"/>
            <w:right w:w="108" w:type="dxa"/>
          </w:tblCellMar>
        </w:tblPrEx>
        <w:trPr>
          <w:cantSplit/>
          <w:trHeight w:val="405" w:hRule="atLeast"/>
          <w:jc w:val="center"/>
        </w:trPr>
        <w:tc>
          <w:tcPr>
            <w:tcW w:w="4035" w:type="dxa"/>
            <w:tcBorders>
              <w:top w:val="nil"/>
              <w:left w:val="single" w:color="auto" w:sz="4" w:space="0"/>
              <w:bottom w:val="single" w:color="auto" w:sz="4" w:space="0"/>
              <w:right w:val="single" w:color="auto" w:sz="4" w:space="0"/>
            </w:tcBorders>
            <w:shd w:val="clear" w:color="auto" w:fill="auto"/>
            <w:vAlign w:val="center"/>
          </w:tcPr>
          <w:p w14:paraId="1218D2D6">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 xml:space="preserve">      烟叶税</w:t>
            </w:r>
          </w:p>
        </w:tc>
        <w:tc>
          <w:tcPr>
            <w:tcW w:w="1707" w:type="dxa"/>
            <w:tcBorders>
              <w:top w:val="nil"/>
              <w:left w:val="nil"/>
              <w:bottom w:val="single" w:color="auto" w:sz="4" w:space="0"/>
              <w:right w:val="single" w:color="auto" w:sz="4" w:space="0"/>
            </w:tcBorders>
            <w:shd w:val="clear" w:color="auto" w:fill="auto"/>
            <w:vAlign w:val="center"/>
          </w:tcPr>
          <w:p w14:paraId="19808877">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910</w:t>
            </w:r>
          </w:p>
        </w:tc>
        <w:tc>
          <w:tcPr>
            <w:tcW w:w="1707" w:type="dxa"/>
            <w:tcBorders>
              <w:top w:val="nil"/>
              <w:left w:val="nil"/>
              <w:bottom w:val="single" w:color="auto" w:sz="4" w:space="0"/>
              <w:right w:val="single" w:color="auto" w:sz="4" w:space="0"/>
            </w:tcBorders>
            <w:shd w:val="clear" w:color="auto" w:fill="auto"/>
            <w:vAlign w:val="center"/>
          </w:tcPr>
          <w:p w14:paraId="073804B7">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1000</w:t>
            </w:r>
          </w:p>
        </w:tc>
        <w:tc>
          <w:tcPr>
            <w:tcW w:w="1409" w:type="dxa"/>
            <w:tcBorders>
              <w:top w:val="nil"/>
              <w:left w:val="nil"/>
              <w:bottom w:val="single" w:color="auto" w:sz="4" w:space="0"/>
              <w:right w:val="single" w:color="auto" w:sz="4" w:space="0"/>
            </w:tcBorders>
            <w:shd w:val="clear" w:color="auto" w:fill="auto"/>
            <w:vAlign w:val="center"/>
          </w:tcPr>
          <w:p w14:paraId="3BFD8512">
            <w:pPr>
              <w:keepNext w:val="0"/>
              <w:keepLines w:val="0"/>
              <w:widowControl/>
              <w:suppressLineNumbers w:val="0"/>
              <w:jc w:val="center"/>
              <w:textAlignment w:val="center"/>
              <w:rPr>
                <w:rFonts w:hint="eastAsia" w:ascii="宋体" w:hAnsi="宋体" w:eastAsia="宋体" w:cs="宋体"/>
                <w:sz w:val="24"/>
                <w:szCs w:val="24"/>
                <w:highlight w:val="none"/>
              </w:rPr>
            </w:pPr>
          </w:p>
        </w:tc>
      </w:tr>
      <w:tr w14:paraId="11CC2B0A">
        <w:tblPrEx>
          <w:tblCellMar>
            <w:top w:w="0" w:type="dxa"/>
            <w:left w:w="108" w:type="dxa"/>
            <w:bottom w:w="0" w:type="dxa"/>
            <w:right w:w="108" w:type="dxa"/>
          </w:tblCellMar>
        </w:tblPrEx>
        <w:trPr>
          <w:cantSplit/>
          <w:trHeight w:val="405" w:hRule="atLeast"/>
          <w:jc w:val="center"/>
        </w:trPr>
        <w:tc>
          <w:tcPr>
            <w:tcW w:w="4035" w:type="dxa"/>
            <w:tcBorders>
              <w:top w:val="nil"/>
              <w:left w:val="single" w:color="auto" w:sz="4" w:space="0"/>
              <w:bottom w:val="single" w:color="auto" w:sz="4" w:space="0"/>
              <w:right w:val="single" w:color="auto" w:sz="4" w:space="0"/>
            </w:tcBorders>
            <w:shd w:val="clear" w:color="auto" w:fill="auto"/>
            <w:vAlign w:val="center"/>
          </w:tcPr>
          <w:p w14:paraId="4A54E6B4">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 xml:space="preserve">      环境保护税</w:t>
            </w:r>
          </w:p>
        </w:tc>
        <w:tc>
          <w:tcPr>
            <w:tcW w:w="1707" w:type="dxa"/>
            <w:tcBorders>
              <w:top w:val="nil"/>
              <w:left w:val="nil"/>
              <w:bottom w:val="single" w:color="auto" w:sz="4" w:space="0"/>
              <w:right w:val="single" w:color="auto" w:sz="4" w:space="0"/>
            </w:tcBorders>
            <w:shd w:val="clear" w:color="auto" w:fill="auto"/>
            <w:vAlign w:val="center"/>
          </w:tcPr>
          <w:p w14:paraId="0B5DA5F4">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2801</w:t>
            </w:r>
          </w:p>
        </w:tc>
        <w:tc>
          <w:tcPr>
            <w:tcW w:w="1707" w:type="dxa"/>
            <w:tcBorders>
              <w:top w:val="nil"/>
              <w:left w:val="nil"/>
              <w:bottom w:val="single" w:color="auto" w:sz="4" w:space="0"/>
              <w:right w:val="single" w:color="auto" w:sz="4" w:space="0"/>
            </w:tcBorders>
            <w:shd w:val="clear" w:color="auto" w:fill="auto"/>
            <w:vAlign w:val="center"/>
          </w:tcPr>
          <w:p w14:paraId="2A4C0AE0">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3000</w:t>
            </w:r>
          </w:p>
        </w:tc>
        <w:tc>
          <w:tcPr>
            <w:tcW w:w="1409" w:type="dxa"/>
            <w:tcBorders>
              <w:top w:val="nil"/>
              <w:left w:val="nil"/>
              <w:bottom w:val="single" w:color="auto" w:sz="4" w:space="0"/>
              <w:right w:val="single" w:color="auto" w:sz="4" w:space="0"/>
            </w:tcBorders>
            <w:shd w:val="clear" w:color="auto" w:fill="auto"/>
            <w:vAlign w:val="center"/>
          </w:tcPr>
          <w:p w14:paraId="0C576EB9">
            <w:pPr>
              <w:keepNext w:val="0"/>
              <w:keepLines w:val="0"/>
              <w:widowControl/>
              <w:suppressLineNumbers w:val="0"/>
              <w:jc w:val="center"/>
              <w:textAlignment w:val="center"/>
              <w:rPr>
                <w:rFonts w:hint="eastAsia" w:ascii="宋体" w:hAnsi="宋体" w:eastAsia="宋体" w:cs="宋体"/>
                <w:sz w:val="24"/>
                <w:szCs w:val="24"/>
                <w:highlight w:val="none"/>
              </w:rPr>
            </w:pPr>
          </w:p>
        </w:tc>
      </w:tr>
      <w:tr w14:paraId="464901EA">
        <w:tblPrEx>
          <w:tblCellMar>
            <w:top w:w="0" w:type="dxa"/>
            <w:left w:w="108" w:type="dxa"/>
            <w:bottom w:w="0" w:type="dxa"/>
            <w:right w:w="108" w:type="dxa"/>
          </w:tblCellMar>
        </w:tblPrEx>
        <w:trPr>
          <w:cantSplit/>
          <w:trHeight w:val="405" w:hRule="atLeast"/>
          <w:jc w:val="center"/>
        </w:trPr>
        <w:tc>
          <w:tcPr>
            <w:tcW w:w="4035" w:type="dxa"/>
            <w:tcBorders>
              <w:top w:val="nil"/>
              <w:left w:val="single" w:color="auto" w:sz="4" w:space="0"/>
              <w:bottom w:val="single" w:color="auto" w:sz="4" w:space="0"/>
              <w:right w:val="single" w:color="auto" w:sz="4" w:space="0"/>
            </w:tcBorders>
            <w:shd w:val="clear" w:color="auto" w:fill="auto"/>
            <w:vAlign w:val="center"/>
          </w:tcPr>
          <w:p w14:paraId="214278DB">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      其他税收收入</w:t>
            </w:r>
          </w:p>
        </w:tc>
        <w:tc>
          <w:tcPr>
            <w:tcW w:w="1707" w:type="dxa"/>
            <w:tcBorders>
              <w:top w:val="nil"/>
              <w:left w:val="nil"/>
              <w:bottom w:val="single" w:color="auto" w:sz="4" w:space="0"/>
              <w:right w:val="single" w:color="auto" w:sz="4" w:space="0"/>
            </w:tcBorders>
            <w:shd w:val="clear" w:color="auto" w:fill="auto"/>
            <w:vAlign w:val="center"/>
          </w:tcPr>
          <w:p w14:paraId="23F7FB86">
            <w:pPr>
              <w:jc w:val="center"/>
              <w:rPr>
                <w:rFonts w:hint="eastAsia" w:ascii="宋体" w:hAnsi="宋体" w:eastAsia="宋体" w:cs="宋体"/>
                <w:sz w:val="24"/>
                <w:szCs w:val="24"/>
              </w:rPr>
            </w:pPr>
            <w:r>
              <w:rPr>
                <w:rFonts w:ascii="宋体" w:hAnsi="宋体" w:eastAsia="宋体" w:cs="宋体"/>
                <w:sz w:val="24"/>
                <w:szCs w:val="24"/>
              </w:rPr>
              <w:t>—</w:t>
            </w:r>
          </w:p>
        </w:tc>
        <w:tc>
          <w:tcPr>
            <w:tcW w:w="1707" w:type="dxa"/>
            <w:tcBorders>
              <w:top w:val="nil"/>
              <w:left w:val="nil"/>
              <w:bottom w:val="single" w:color="auto" w:sz="4" w:space="0"/>
              <w:right w:val="single" w:color="auto" w:sz="4" w:space="0"/>
            </w:tcBorders>
            <w:shd w:val="clear" w:color="auto" w:fill="auto"/>
            <w:vAlign w:val="center"/>
          </w:tcPr>
          <w:p w14:paraId="203C512C">
            <w:pPr>
              <w:jc w:val="center"/>
              <w:rPr>
                <w:rFonts w:hint="eastAsia" w:ascii="宋体" w:hAnsi="宋体" w:eastAsia="宋体" w:cs="宋体"/>
                <w:sz w:val="24"/>
                <w:szCs w:val="24"/>
              </w:rPr>
            </w:pPr>
            <w:r>
              <w:rPr>
                <w:rFonts w:ascii="宋体" w:hAnsi="宋体" w:eastAsia="宋体" w:cs="宋体"/>
                <w:sz w:val="24"/>
                <w:szCs w:val="24"/>
              </w:rPr>
              <w:t>—</w:t>
            </w:r>
          </w:p>
        </w:tc>
        <w:tc>
          <w:tcPr>
            <w:tcW w:w="1409" w:type="dxa"/>
            <w:tcBorders>
              <w:top w:val="nil"/>
              <w:left w:val="nil"/>
              <w:bottom w:val="single" w:color="auto" w:sz="4" w:space="0"/>
              <w:right w:val="single" w:color="auto" w:sz="4" w:space="0"/>
            </w:tcBorders>
            <w:shd w:val="clear" w:color="auto" w:fill="auto"/>
            <w:vAlign w:val="center"/>
          </w:tcPr>
          <w:p w14:paraId="1D6005C1">
            <w:pPr>
              <w:jc w:val="center"/>
              <w:rPr>
                <w:rFonts w:hint="eastAsia" w:ascii="宋体" w:hAnsi="宋体" w:eastAsia="宋体" w:cs="宋体"/>
                <w:sz w:val="24"/>
                <w:szCs w:val="24"/>
              </w:rPr>
            </w:pPr>
          </w:p>
        </w:tc>
      </w:tr>
      <w:tr w14:paraId="3DC35036">
        <w:tblPrEx>
          <w:tblCellMar>
            <w:top w:w="0" w:type="dxa"/>
            <w:left w:w="108" w:type="dxa"/>
            <w:bottom w:w="0" w:type="dxa"/>
            <w:right w:w="108" w:type="dxa"/>
          </w:tblCellMar>
        </w:tblPrEx>
        <w:trPr>
          <w:cantSplit/>
          <w:trHeight w:val="405" w:hRule="atLeast"/>
          <w:jc w:val="center"/>
        </w:trPr>
        <w:tc>
          <w:tcPr>
            <w:tcW w:w="4035" w:type="dxa"/>
            <w:tcBorders>
              <w:top w:val="nil"/>
              <w:left w:val="single" w:color="auto" w:sz="4" w:space="0"/>
              <w:bottom w:val="single" w:color="auto" w:sz="4" w:space="0"/>
              <w:right w:val="single" w:color="auto" w:sz="4" w:space="0"/>
            </w:tcBorders>
            <w:shd w:val="clear" w:color="auto" w:fill="auto"/>
            <w:vAlign w:val="center"/>
          </w:tcPr>
          <w:p w14:paraId="359E38A1">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非税收入</w:t>
            </w:r>
          </w:p>
        </w:tc>
        <w:tc>
          <w:tcPr>
            <w:tcW w:w="1707" w:type="dxa"/>
            <w:tcBorders>
              <w:top w:val="nil"/>
              <w:left w:val="nil"/>
              <w:bottom w:val="single" w:color="auto" w:sz="4" w:space="0"/>
              <w:right w:val="single" w:color="auto" w:sz="4" w:space="0"/>
            </w:tcBorders>
            <w:shd w:val="clear" w:color="auto" w:fill="auto"/>
            <w:vAlign w:val="center"/>
          </w:tcPr>
          <w:p w14:paraId="20AED72C">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53256</w:t>
            </w:r>
          </w:p>
        </w:tc>
        <w:tc>
          <w:tcPr>
            <w:tcW w:w="1707" w:type="dxa"/>
            <w:tcBorders>
              <w:top w:val="nil"/>
              <w:left w:val="nil"/>
              <w:bottom w:val="single" w:color="auto" w:sz="4" w:space="0"/>
              <w:right w:val="single" w:color="auto" w:sz="4" w:space="0"/>
            </w:tcBorders>
            <w:shd w:val="clear" w:color="auto" w:fill="auto"/>
            <w:vAlign w:val="center"/>
          </w:tcPr>
          <w:p w14:paraId="08CA0B13">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53100</w:t>
            </w:r>
          </w:p>
        </w:tc>
        <w:tc>
          <w:tcPr>
            <w:tcW w:w="1409" w:type="dxa"/>
            <w:tcBorders>
              <w:top w:val="nil"/>
              <w:left w:val="nil"/>
              <w:bottom w:val="single" w:color="auto" w:sz="4" w:space="0"/>
              <w:right w:val="single" w:color="auto" w:sz="4" w:space="0"/>
            </w:tcBorders>
            <w:shd w:val="clear" w:color="auto" w:fill="auto"/>
            <w:vAlign w:val="center"/>
          </w:tcPr>
          <w:p w14:paraId="5F0232D8">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-0.3%</w:t>
            </w:r>
          </w:p>
        </w:tc>
      </w:tr>
      <w:tr w14:paraId="4EABA557">
        <w:tblPrEx>
          <w:tblCellMar>
            <w:top w:w="0" w:type="dxa"/>
            <w:left w:w="108" w:type="dxa"/>
            <w:bottom w:w="0" w:type="dxa"/>
            <w:right w:w="108" w:type="dxa"/>
          </w:tblCellMar>
        </w:tblPrEx>
        <w:trPr>
          <w:cantSplit/>
          <w:trHeight w:val="405" w:hRule="atLeast"/>
          <w:jc w:val="center"/>
        </w:trPr>
        <w:tc>
          <w:tcPr>
            <w:tcW w:w="4035" w:type="dxa"/>
            <w:tcBorders>
              <w:top w:val="nil"/>
              <w:left w:val="single" w:color="auto" w:sz="4" w:space="0"/>
              <w:bottom w:val="single" w:color="auto" w:sz="4" w:space="0"/>
              <w:right w:val="single" w:color="auto" w:sz="4" w:space="0"/>
            </w:tcBorders>
            <w:shd w:val="clear" w:color="auto" w:fill="auto"/>
            <w:vAlign w:val="center"/>
          </w:tcPr>
          <w:p w14:paraId="5A3E0EC8">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 xml:space="preserve">      专项收入</w:t>
            </w:r>
          </w:p>
        </w:tc>
        <w:tc>
          <w:tcPr>
            <w:tcW w:w="1707" w:type="dxa"/>
            <w:tcBorders>
              <w:top w:val="nil"/>
              <w:left w:val="nil"/>
              <w:bottom w:val="single" w:color="auto" w:sz="4" w:space="0"/>
              <w:right w:val="single" w:color="auto" w:sz="4" w:space="0"/>
            </w:tcBorders>
            <w:shd w:val="clear" w:color="auto" w:fill="auto"/>
            <w:vAlign w:val="center"/>
          </w:tcPr>
          <w:p w14:paraId="4140138D">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6144</w:t>
            </w:r>
          </w:p>
        </w:tc>
        <w:tc>
          <w:tcPr>
            <w:tcW w:w="1707" w:type="dxa"/>
            <w:tcBorders>
              <w:top w:val="nil"/>
              <w:left w:val="nil"/>
              <w:bottom w:val="single" w:color="auto" w:sz="4" w:space="0"/>
              <w:right w:val="single" w:color="auto" w:sz="4" w:space="0"/>
            </w:tcBorders>
            <w:shd w:val="clear" w:color="auto" w:fill="auto"/>
            <w:vAlign w:val="center"/>
          </w:tcPr>
          <w:p w14:paraId="20017681">
            <w:pPr>
              <w:keepNext w:val="0"/>
              <w:keepLines w:val="0"/>
              <w:widowControl/>
              <w:suppressLineNumbers w:val="0"/>
              <w:jc w:val="center"/>
              <w:textAlignment w:val="center"/>
              <w:rPr>
                <w:rFonts w:hint="default" w:ascii="宋体" w:hAnsi="宋体" w:eastAsia="宋体" w:cs="宋体"/>
                <w:sz w:val="24"/>
                <w:szCs w:val="24"/>
                <w:highlight w:val="none"/>
                <w:lang w:val="en-US"/>
              </w:rPr>
            </w:pPr>
            <w:r>
              <w:rPr>
                <w:rFonts w:hint="eastAsia" w:ascii="宋体" w:hAnsi="宋体" w:eastAsia="宋体" w:cs="宋体"/>
                <w:i w:val="0"/>
                <w:color w:val="000000"/>
                <w:kern w:val="0"/>
                <w:sz w:val="22"/>
                <w:szCs w:val="22"/>
                <w:u w:val="none"/>
                <w:lang w:val="en-US" w:eastAsia="zh-CN" w:bidi="ar"/>
              </w:rPr>
              <w:t>6200</w:t>
            </w:r>
          </w:p>
        </w:tc>
        <w:tc>
          <w:tcPr>
            <w:tcW w:w="1409" w:type="dxa"/>
            <w:tcBorders>
              <w:top w:val="nil"/>
              <w:left w:val="nil"/>
              <w:bottom w:val="single" w:color="auto" w:sz="4" w:space="0"/>
              <w:right w:val="single" w:color="auto" w:sz="4" w:space="0"/>
            </w:tcBorders>
            <w:shd w:val="clear" w:color="auto" w:fill="auto"/>
            <w:vAlign w:val="center"/>
          </w:tcPr>
          <w:p w14:paraId="5AD743A5">
            <w:pPr>
              <w:keepNext w:val="0"/>
              <w:keepLines w:val="0"/>
              <w:widowControl/>
              <w:suppressLineNumbers w:val="0"/>
              <w:jc w:val="center"/>
              <w:textAlignment w:val="center"/>
              <w:rPr>
                <w:rFonts w:hint="eastAsia" w:ascii="宋体" w:hAnsi="宋体" w:eastAsia="宋体" w:cs="宋体"/>
                <w:sz w:val="24"/>
                <w:szCs w:val="24"/>
                <w:highlight w:val="none"/>
              </w:rPr>
            </w:pPr>
          </w:p>
        </w:tc>
      </w:tr>
      <w:tr w14:paraId="2C9F1024">
        <w:tblPrEx>
          <w:tblCellMar>
            <w:top w:w="0" w:type="dxa"/>
            <w:left w:w="108" w:type="dxa"/>
            <w:bottom w:w="0" w:type="dxa"/>
            <w:right w:w="108" w:type="dxa"/>
          </w:tblCellMar>
        </w:tblPrEx>
        <w:trPr>
          <w:cantSplit/>
          <w:trHeight w:val="405" w:hRule="atLeast"/>
          <w:jc w:val="center"/>
        </w:trPr>
        <w:tc>
          <w:tcPr>
            <w:tcW w:w="4035" w:type="dxa"/>
            <w:tcBorders>
              <w:top w:val="nil"/>
              <w:left w:val="single" w:color="auto" w:sz="4" w:space="0"/>
              <w:bottom w:val="single" w:color="auto" w:sz="4" w:space="0"/>
              <w:right w:val="single" w:color="auto" w:sz="4" w:space="0"/>
            </w:tcBorders>
            <w:shd w:val="clear" w:color="auto" w:fill="auto"/>
            <w:vAlign w:val="center"/>
          </w:tcPr>
          <w:p w14:paraId="6F6BD28E">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 xml:space="preserve">      行政事业性收费收入</w:t>
            </w:r>
          </w:p>
        </w:tc>
        <w:tc>
          <w:tcPr>
            <w:tcW w:w="1707" w:type="dxa"/>
            <w:tcBorders>
              <w:top w:val="nil"/>
              <w:left w:val="nil"/>
              <w:bottom w:val="single" w:color="auto" w:sz="4" w:space="0"/>
              <w:right w:val="single" w:color="auto" w:sz="4" w:space="0"/>
            </w:tcBorders>
            <w:shd w:val="clear" w:color="auto" w:fill="auto"/>
            <w:vAlign w:val="center"/>
          </w:tcPr>
          <w:p w14:paraId="186F13AB">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4311</w:t>
            </w:r>
          </w:p>
        </w:tc>
        <w:tc>
          <w:tcPr>
            <w:tcW w:w="1707" w:type="dxa"/>
            <w:tcBorders>
              <w:top w:val="nil"/>
              <w:left w:val="nil"/>
              <w:bottom w:val="single" w:color="auto" w:sz="4" w:space="0"/>
              <w:right w:val="single" w:color="auto" w:sz="4" w:space="0"/>
            </w:tcBorders>
            <w:shd w:val="clear" w:color="auto" w:fill="auto"/>
            <w:vAlign w:val="center"/>
          </w:tcPr>
          <w:p w14:paraId="54C2B927">
            <w:pPr>
              <w:keepNext w:val="0"/>
              <w:keepLines w:val="0"/>
              <w:widowControl/>
              <w:suppressLineNumbers w:val="0"/>
              <w:jc w:val="center"/>
              <w:textAlignment w:val="center"/>
              <w:rPr>
                <w:rFonts w:hint="default" w:ascii="宋体" w:hAnsi="宋体" w:eastAsia="宋体" w:cs="宋体"/>
                <w:sz w:val="24"/>
                <w:szCs w:val="24"/>
                <w:highlight w:val="none"/>
                <w:lang w:val="en-US"/>
              </w:rPr>
            </w:pPr>
            <w:r>
              <w:rPr>
                <w:rFonts w:hint="eastAsia" w:ascii="宋体" w:hAnsi="宋体" w:eastAsia="宋体" w:cs="宋体"/>
                <w:i w:val="0"/>
                <w:color w:val="000000"/>
                <w:kern w:val="0"/>
                <w:sz w:val="22"/>
                <w:szCs w:val="22"/>
                <w:u w:val="none"/>
                <w:lang w:val="en-US" w:eastAsia="zh-CN" w:bidi="ar"/>
              </w:rPr>
              <w:t>4400</w:t>
            </w:r>
          </w:p>
        </w:tc>
        <w:tc>
          <w:tcPr>
            <w:tcW w:w="1409" w:type="dxa"/>
            <w:tcBorders>
              <w:top w:val="nil"/>
              <w:left w:val="nil"/>
              <w:bottom w:val="single" w:color="auto" w:sz="4" w:space="0"/>
              <w:right w:val="single" w:color="auto" w:sz="4" w:space="0"/>
            </w:tcBorders>
            <w:shd w:val="clear" w:color="auto" w:fill="auto"/>
            <w:vAlign w:val="center"/>
          </w:tcPr>
          <w:p w14:paraId="51AF1C40">
            <w:pPr>
              <w:keepNext w:val="0"/>
              <w:keepLines w:val="0"/>
              <w:widowControl/>
              <w:suppressLineNumbers w:val="0"/>
              <w:jc w:val="center"/>
              <w:textAlignment w:val="center"/>
              <w:rPr>
                <w:rFonts w:hint="eastAsia" w:ascii="宋体" w:hAnsi="宋体" w:eastAsia="宋体" w:cs="宋体"/>
                <w:sz w:val="24"/>
                <w:szCs w:val="24"/>
                <w:highlight w:val="none"/>
              </w:rPr>
            </w:pPr>
          </w:p>
        </w:tc>
      </w:tr>
      <w:tr w14:paraId="0CF16589">
        <w:tblPrEx>
          <w:tblCellMar>
            <w:top w:w="0" w:type="dxa"/>
            <w:left w:w="108" w:type="dxa"/>
            <w:bottom w:w="0" w:type="dxa"/>
            <w:right w:w="108" w:type="dxa"/>
          </w:tblCellMar>
        </w:tblPrEx>
        <w:trPr>
          <w:cantSplit/>
          <w:trHeight w:val="405" w:hRule="atLeast"/>
          <w:jc w:val="center"/>
        </w:trPr>
        <w:tc>
          <w:tcPr>
            <w:tcW w:w="4035" w:type="dxa"/>
            <w:tcBorders>
              <w:top w:val="nil"/>
              <w:left w:val="single" w:color="auto" w:sz="4" w:space="0"/>
              <w:bottom w:val="single" w:color="auto" w:sz="4" w:space="0"/>
              <w:right w:val="single" w:color="auto" w:sz="4" w:space="0"/>
            </w:tcBorders>
            <w:shd w:val="clear" w:color="auto" w:fill="auto"/>
            <w:vAlign w:val="center"/>
          </w:tcPr>
          <w:p w14:paraId="6BF0DD53">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 xml:space="preserve">      罚没收入</w:t>
            </w:r>
          </w:p>
        </w:tc>
        <w:tc>
          <w:tcPr>
            <w:tcW w:w="1707" w:type="dxa"/>
            <w:tcBorders>
              <w:top w:val="nil"/>
              <w:left w:val="nil"/>
              <w:bottom w:val="single" w:color="auto" w:sz="4" w:space="0"/>
              <w:right w:val="single" w:color="auto" w:sz="4" w:space="0"/>
            </w:tcBorders>
            <w:shd w:val="clear" w:color="auto" w:fill="auto"/>
            <w:vAlign w:val="center"/>
          </w:tcPr>
          <w:p w14:paraId="436B338F">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4559</w:t>
            </w:r>
          </w:p>
        </w:tc>
        <w:tc>
          <w:tcPr>
            <w:tcW w:w="1707" w:type="dxa"/>
            <w:tcBorders>
              <w:top w:val="nil"/>
              <w:left w:val="nil"/>
              <w:bottom w:val="single" w:color="auto" w:sz="4" w:space="0"/>
              <w:right w:val="single" w:color="auto" w:sz="4" w:space="0"/>
            </w:tcBorders>
            <w:shd w:val="clear" w:color="auto" w:fill="auto"/>
            <w:vAlign w:val="center"/>
          </w:tcPr>
          <w:p w14:paraId="3994C2B9">
            <w:pPr>
              <w:keepNext w:val="0"/>
              <w:keepLines w:val="0"/>
              <w:widowControl/>
              <w:suppressLineNumbers w:val="0"/>
              <w:jc w:val="center"/>
              <w:textAlignment w:val="center"/>
              <w:rPr>
                <w:rFonts w:hint="default" w:ascii="宋体" w:hAnsi="宋体" w:eastAsia="宋体" w:cs="宋体"/>
                <w:sz w:val="24"/>
                <w:szCs w:val="24"/>
                <w:highlight w:val="none"/>
                <w:lang w:val="en-US"/>
              </w:rPr>
            </w:pPr>
            <w:r>
              <w:rPr>
                <w:rFonts w:hint="eastAsia" w:ascii="宋体" w:hAnsi="宋体" w:eastAsia="宋体" w:cs="宋体"/>
                <w:i w:val="0"/>
                <w:color w:val="000000"/>
                <w:kern w:val="0"/>
                <w:sz w:val="22"/>
                <w:szCs w:val="22"/>
                <w:u w:val="none"/>
                <w:lang w:val="en-US" w:eastAsia="zh-CN" w:bidi="ar"/>
              </w:rPr>
              <w:t>4600</w:t>
            </w:r>
          </w:p>
        </w:tc>
        <w:tc>
          <w:tcPr>
            <w:tcW w:w="1409" w:type="dxa"/>
            <w:tcBorders>
              <w:top w:val="nil"/>
              <w:left w:val="nil"/>
              <w:bottom w:val="single" w:color="auto" w:sz="4" w:space="0"/>
              <w:right w:val="single" w:color="auto" w:sz="4" w:space="0"/>
            </w:tcBorders>
            <w:shd w:val="clear" w:color="auto" w:fill="auto"/>
            <w:vAlign w:val="center"/>
          </w:tcPr>
          <w:p w14:paraId="773A81FD">
            <w:pPr>
              <w:keepNext w:val="0"/>
              <w:keepLines w:val="0"/>
              <w:widowControl/>
              <w:suppressLineNumbers w:val="0"/>
              <w:jc w:val="center"/>
              <w:textAlignment w:val="center"/>
              <w:rPr>
                <w:rFonts w:hint="eastAsia" w:ascii="宋体" w:hAnsi="宋体" w:eastAsia="宋体" w:cs="宋体"/>
                <w:sz w:val="24"/>
                <w:szCs w:val="24"/>
                <w:highlight w:val="none"/>
              </w:rPr>
            </w:pPr>
          </w:p>
        </w:tc>
      </w:tr>
      <w:tr w14:paraId="1C94993B">
        <w:tblPrEx>
          <w:tblCellMar>
            <w:top w:w="0" w:type="dxa"/>
            <w:left w:w="108" w:type="dxa"/>
            <w:bottom w:w="0" w:type="dxa"/>
            <w:right w:w="108" w:type="dxa"/>
          </w:tblCellMar>
        </w:tblPrEx>
        <w:trPr>
          <w:cantSplit/>
          <w:trHeight w:val="405" w:hRule="atLeast"/>
          <w:jc w:val="center"/>
        </w:trPr>
        <w:tc>
          <w:tcPr>
            <w:tcW w:w="4035" w:type="dxa"/>
            <w:tcBorders>
              <w:top w:val="nil"/>
              <w:left w:val="single" w:color="auto" w:sz="4" w:space="0"/>
              <w:bottom w:val="single" w:color="auto" w:sz="4" w:space="0"/>
              <w:right w:val="single" w:color="auto" w:sz="4" w:space="0"/>
            </w:tcBorders>
            <w:shd w:val="clear" w:color="auto" w:fill="auto"/>
            <w:vAlign w:val="center"/>
          </w:tcPr>
          <w:p w14:paraId="5B0AFC0D">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eastAsia="宋体" w:cs="宋体"/>
                <w:i w:val="0"/>
                <w:color w:val="000000"/>
                <w:spacing w:val="-6"/>
                <w:kern w:val="0"/>
                <w:sz w:val="24"/>
                <w:szCs w:val="24"/>
                <w:u w:val="none"/>
                <w:lang w:val="en-US" w:eastAsia="zh-CN" w:bidi="ar"/>
              </w:rPr>
              <w:t>国有资源(资产)有偿使用收入</w:t>
            </w:r>
          </w:p>
        </w:tc>
        <w:tc>
          <w:tcPr>
            <w:tcW w:w="1707" w:type="dxa"/>
            <w:tcBorders>
              <w:top w:val="nil"/>
              <w:left w:val="nil"/>
              <w:bottom w:val="single" w:color="auto" w:sz="4" w:space="0"/>
              <w:right w:val="single" w:color="auto" w:sz="4" w:space="0"/>
            </w:tcBorders>
            <w:shd w:val="clear" w:color="auto" w:fill="auto"/>
            <w:vAlign w:val="center"/>
          </w:tcPr>
          <w:p w14:paraId="1F427AF0">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27426</w:t>
            </w:r>
          </w:p>
        </w:tc>
        <w:tc>
          <w:tcPr>
            <w:tcW w:w="1707" w:type="dxa"/>
            <w:tcBorders>
              <w:top w:val="nil"/>
              <w:left w:val="nil"/>
              <w:bottom w:val="single" w:color="auto" w:sz="4" w:space="0"/>
              <w:right w:val="single" w:color="auto" w:sz="4" w:space="0"/>
            </w:tcBorders>
            <w:shd w:val="clear" w:color="auto" w:fill="auto"/>
            <w:vAlign w:val="center"/>
          </w:tcPr>
          <w:p w14:paraId="3FBA4EDC">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30000</w:t>
            </w:r>
          </w:p>
        </w:tc>
        <w:tc>
          <w:tcPr>
            <w:tcW w:w="1409" w:type="dxa"/>
            <w:tcBorders>
              <w:top w:val="nil"/>
              <w:left w:val="nil"/>
              <w:bottom w:val="single" w:color="auto" w:sz="4" w:space="0"/>
              <w:right w:val="single" w:color="auto" w:sz="4" w:space="0"/>
            </w:tcBorders>
            <w:shd w:val="clear" w:color="auto" w:fill="auto"/>
            <w:vAlign w:val="center"/>
          </w:tcPr>
          <w:p w14:paraId="19284503">
            <w:pPr>
              <w:keepNext w:val="0"/>
              <w:keepLines w:val="0"/>
              <w:widowControl/>
              <w:suppressLineNumbers w:val="0"/>
              <w:jc w:val="center"/>
              <w:textAlignment w:val="center"/>
              <w:rPr>
                <w:rFonts w:hint="eastAsia" w:ascii="宋体" w:hAnsi="宋体" w:eastAsia="宋体" w:cs="宋体"/>
                <w:sz w:val="24"/>
                <w:szCs w:val="24"/>
                <w:highlight w:val="none"/>
              </w:rPr>
            </w:pPr>
          </w:p>
        </w:tc>
      </w:tr>
      <w:tr w14:paraId="080DF4B8">
        <w:tblPrEx>
          <w:tblCellMar>
            <w:top w:w="0" w:type="dxa"/>
            <w:left w:w="108" w:type="dxa"/>
            <w:bottom w:w="0" w:type="dxa"/>
            <w:right w:w="108" w:type="dxa"/>
          </w:tblCellMar>
        </w:tblPrEx>
        <w:trPr>
          <w:cantSplit/>
          <w:trHeight w:val="405" w:hRule="atLeast"/>
          <w:jc w:val="center"/>
        </w:trPr>
        <w:tc>
          <w:tcPr>
            <w:tcW w:w="4035" w:type="dxa"/>
            <w:tcBorders>
              <w:top w:val="nil"/>
              <w:left w:val="single" w:color="auto" w:sz="4" w:space="0"/>
              <w:bottom w:val="single" w:color="auto" w:sz="4" w:space="0"/>
              <w:right w:val="single" w:color="auto" w:sz="4" w:space="0"/>
            </w:tcBorders>
            <w:shd w:val="clear" w:color="auto" w:fill="auto"/>
            <w:vAlign w:val="center"/>
          </w:tcPr>
          <w:p w14:paraId="3765CB4A">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 xml:space="preserve">      捐赠收入</w:t>
            </w:r>
          </w:p>
        </w:tc>
        <w:tc>
          <w:tcPr>
            <w:tcW w:w="1707" w:type="dxa"/>
            <w:tcBorders>
              <w:top w:val="nil"/>
              <w:left w:val="nil"/>
              <w:bottom w:val="single" w:color="auto" w:sz="4" w:space="0"/>
              <w:right w:val="single" w:color="auto" w:sz="4" w:space="0"/>
            </w:tcBorders>
            <w:shd w:val="clear" w:color="auto" w:fill="auto"/>
            <w:vAlign w:val="center"/>
          </w:tcPr>
          <w:p w14:paraId="5BAF85D2">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2"/>
                <w:szCs w:val="22"/>
                <w:u w:val="none"/>
                <w:lang w:val="en-US" w:eastAsia="zh-CN" w:bidi="ar"/>
              </w:rPr>
              <w:t>130</w:t>
            </w:r>
          </w:p>
        </w:tc>
        <w:tc>
          <w:tcPr>
            <w:tcW w:w="1707" w:type="dxa"/>
            <w:tcBorders>
              <w:top w:val="nil"/>
              <w:left w:val="nil"/>
              <w:bottom w:val="single" w:color="auto" w:sz="4" w:space="0"/>
              <w:right w:val="single" w:color="auto" w:sz="4" w:space="0"/>
            </w:tcBorders>
            <w:shd w:val="clear" w:color="auto" w:fill="auto"/>
            <w:vAlign w:val="center"/>
          </w:tcPr>
          <w:p w14:paraId="072C9600">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0</w:t>
            </w:r>
          </w:p>
        </w:tc>
        <w:tc>
          <w:tcPr>
            <w:tcW w:w="1409" w:type="dxa"/>
            <w:tcBorders>
              <w:top w:val="nil"/>
              <w:left w:val="nil"/>
              <w:bottom w:val="single" w:color="auto" w:sz="4" w:space="0"/>
              <w:right w:val="single" w:color="auto" w:sz="4" w:space="0"/>
            </w:tcBorders>
            <w:shd w:val="clear" w:color="auto" w:fill="auto"/>
            <w:vAlign w:val="center"/>
          </w:tcPr>
          <w:p w14:paraId="24C91B8B">
            <w:pPr>
              <w:jc w:val="center"/>
              <w:rPr>
                <w:rFonts w:hint="eastAsia" w:ascii="宋体" w:hAnsi="宋体" w:eastAsia="宋体" w:cs="宋体"/>
                <w:sz w:val="24"/>
                <w:szCs w:val="24"/>
                <w:highlight w:val="none"/>
              </w:rPr>
            </w:pPr>
          </w:p>
        </w:tc>
      </w:tr>
      <w:tr w14:paraId="31F766A5">
        <w:tblPrEx>
          <w:tblCellMar>
            <w:top w:w="0" w:type="dxa"/>
            <w:left w:w="108" w:type="dxa"/>
            <w:bottom w:w="0" w:type="dxa"/>
            <w:right w:w="108" w:type="dxa"/>
          </w:tblCellMar>
        </w:tblPrEx>
        <w:trPr>
          <w:cantSplit/>
          <w:trHeight w:val="405" w:hRule="atLeast"/>
          <w:jc w:val="center"/>
        </w:trPr>
        <w:tc>
          <w:tcPr>
            <w:tcW w:w="4035" w:type="dxa"/>
            <w:tcBorders>
              <w:top w:val="nil"/>
              <w:left w:val="single" w:color="auto" w:sz="4" w:space="0"/>
              <w:bottom w:val="single" w:color="auto" w:sz="4" w:space="0"/>
              <w:right w:val="single" w:color="auto" w:sz="4" w:space="0"/>
            </w:tcBorders>
            <w:shd w:val="clear" w:color="auto" w:fill="auto"/>
            <w:vAlign w:val="center"/>
          </w:tcPr>
          <w:p w14:paraId="43C1509E">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 xml:space="preserve">      政府住房基金收入</w:t>
            </w:r>
          </w:p>
        </w:tc>
        <w:tc>
          <w:tcPr>
            <w:tcW w:w="1707" w:type="dxa"/>
            <w:tcBorders>
              <w:top w:val="nil"/>
              <w:left w:val="nil"/>
              <w:bottom w:val="single" w:color="auto" w:sz="4" w:space="0"/>
              <w:right w:val="single" w:color="auto" w:sz="4" w:space="0"/>
            </w:tcBorders>
            <w:shd w:val="clear" w:color="auto" w:fill="auto"/>
            <w:vAlign w:val="center"/>
          </w:tcPr>
          <w:p w14:paraId="1913D31A">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141</w:t>
            </w:r>
          </w:p>
        </w:tc>
        <w:tc>
          <w:tcPr>
            <w:tcW w:w="1707" w:type="dxa"/>
            <w:tcBorders>
              <w:top w:val="nil"/>
              <w:left w:val="nil"/>
              <w:bottom w:val="single" w:color="auto" w:sz="4" w:space="0"/>
              <w:right w:val="single" w:color="auto" w:sz="4" w:space="0"/>
            </w:tcBorders>
            <w:shd w:val="clear" w:color="auto" w:fill="auto"/>
            <w:vAlign w:val="center"/>
          </w:tcPr>
          <w:p w14:paraId="5FF4F923">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100</w:t>
            </w:r>
          </w:p>
        </w:tc>
        <w:tc>
          <w:tcPr>
            <w:tcW w:w="1409" w:type="dxa"/>
            <w:tcBorders>
              <w:top w:val="nil"/>
              <w:left w:val="nil"/>
              <w:bottom w:val="single" w:color="auto" w:sz="4" w:space="0"/>
              <w:right w:val="single" w:color="auto" w:sz="4" w:space="0"/>
            </w:tcBorders>
            <w:shd w:val="clear" w:color="auto" w:fill="auto"/>
            <w:vAlign w:val="center"/>
          </w:tcPr>
          <w:p w14:paraId="3753BE28">
            <w:pPr>
              <w:jc w:val="center"/>
              <w:rPr>
                <w:rFonts w:hint="eastAsia" w:ascii="宋体" w:hAnsi="宋体" w:eastAsia="宋体" w:cs="宋体"/>
                <w:sz w:val="24"/>
                <w:szCs w:val="24"/>
                <w:highlight w:val="none"/>
              </w:rPr>
            </w:pPr>
          </w:p>
        </w:tc>
      </w:tr>
      <w:tr w14:paraId="78DCE71E">
        <w:tblPrEx>
          <w:tblCellMar>
            <w:top w:w="0" w:type="dxa"/>
            <w:left w:w="108" w:type="dxa"/>
            <w:bottom w:w="0" w:type="dxa"/>
            <w:right w:w="108" w:type="dxa"/>
          </w:tblCellMar>
        </w:tblPrEx>
        <w:trPr>
          <w:cantSplit/>
          <w:trHeight w:val="405" w:hRule="atLeast"/>
          <w:jc w:val="center"/>
        </w:trPr>
        <w:tc>
          <w:tcPr>
            <w:tcW w:w="4035" w:type="dxa"/>
            <w:tcBorders>
              <w:top w:val="nil"/>
              <w:left w:val="single" w:color="auto" w:sz="4" w:space="0"/>
              <w:bottom w:val="single" w:color="auto" w:sz="4" w:space="0"/>
              <w:right w:val="single" w:color="auto" w:sz="4" w:space="0"/>
            </w:tcBorders>
            <w:shd w:val="clear" w:color="auto" w:fill="auto"/>
            <w:vAlign w:val="center"/>
          </w:tcPr>
          <w:p w14:paraId="026802D2">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 xml:space="preserve">      其他收入</w:t>
            </w:r>
          </w:p>
        </w:tc>
        <w:tc>
          <w:tcPr>
            <w:tcW w:w="1707" w:type="dxa"/>
            <w:tcBorders>
              <w:top w:val="nil"/>
              <w:left w:val="nil"/>
              <w:bottom w:val="single" w:color="auto" w:sz="4" w:space="0"/>
              <w:right w:val="single" w:color="auto" w:sz="4" w:space="0"/>
            </w:tcBorders>
            <w:shd w:val="clear" w:color="auto" w:fill="auto"/>
            <w:vAlign w:val="center"/>
          </w:tcPr>
          <w:p w14:paraId="43F2BF18">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10545</w:t>
            </w:r>
          </w:p>
        </w:tc>
        <w:tc>
          <w:tcPr>
            <w:tcW w:w="1707" w:type="dxa"/>
            <w:tcBorders>
              <w:top w:val="nil"/>
              <w:left w:val="nil"/>
              <w:bottom w:val="single" w:color="auto" w:sz="4" w:space="0"/>
              <w:right w:val="single" w:color="auto" w:sz="4" w:space="0"/>
            </w:tcBorders>
            <w:shd w:val="clear" w:color="auto" w:fill="auto"/>
            <w:vAlign w:val="center"/>
          </w:tcPr>
          <w:p w14:paraId="6B14DADD">
            <w:pPr>
              <w:keepNext w:val="0"/>
              <w:keepLines w:val="0"/>
              <w:widowControl/>
              <w:suppressLineNumbers w:val="0"/>
              <w:jc w:val="center"/>
              <w:textAlignment w:val="center"/>
              <w:rPr>
                <w:rFonts w:hint="default" w:ascii="宋体" w:hAnsi="宋体" w:eastAsia="宋体" w:cs="宋体"/>
                <w:sz w:val="24"/>
                <w:szCs w:val="24"/>
                <w:highlight w:val="none"/>
                <w:lang w:val="en-US"/>
              </w:rPr>
            </w:pPr>
            <w:r>
              <w:rPr>
                <w:rFonts w:hint="eastAsia" w:ascii="宋体" w:hAnsi="宋体" w:eastAsia="宋体" w:cs="宋体"/>
                <w:i w:val="0"/>
                <w:color w:val="000000"/>
                <w:kern w:val="0"/>
                <w:sz w:val="22"/>
                <w:szCs w:val="22"/>
                <w:u w:val="none"/>
                <w:lang w:val="en-US" w:eastAsia="zh-CN" w:bidi="ar"/>
              </w:rPr>
              <w:t>7800</w:t>
            </w:r>
          </w:p>
        </w:tc>
        <w:tc>
          <w:tcPr>
            <w:tcW w:w="1409" w:type="dxa"/>
            <w:tcBorders>
              <w:top w:val="nil"/>
              <w:left w:val="nil"/>
              <w:bottom w:val="single" w:color="auto" w:sz="4" w:space="0"/>
              <w:right w:val="single" w:color="auto" w:sz="4" w:space="0"/>
            </w:tcBorders>
            <w:shd w:val="clear" w:color="auto" w:fill="auto"/>
            <w:vAlign w:val="center"/>
          </w:tcPr>
          <w:p w14:paraId="2ADC8C28">
            <w:pPr>
              <w:keepNext w:val="0"/>
              <w:keepLines w:val="0"/>
              <w:widowControl/>
              <w:suppressLineNumbers w:val="0"/>
              <w:jc w:val="center"/>
              <w:textAlignment w:val="center"/>
              <w:rPr>
                <w:rFonts w:hint="eastAsia" w:ascii="宋体" w:hAnsi="宋体" w:eastAsia="宋体" w:cs="宋体"/>
                <w:sz w:val="24"/>
                <w:szCs w:val="24"/>
                <w:highlight w:val="none"/>
              </w:rPr>
            </w:pPr>
          </w:p>
        </w:tc>
      </w:tr>
      <w:tr w14:paraId="55F3790D">
        <w:tblPrEx>
          <w:tblCellMar>
            <w:top w:w="0" w:type="dxa"/>
            <w:left w:w="108" w:type="dxa"/>
            <w:bottom w:w="0" w:type="dxa"/>
            <w:right w:w="108" w:type="dxa"/>
          </w:tblCellMar>
        </w:tblPrEx>
        <w:trPr>
          <w:cantSplit/>
          <w:trHeight w:val="415" w:hRule="atLeast"/>
          <w:jc w:val="center"/>
        </w:trPr>
        <w:tc>
          <w:tcPr>
            <w:tcW w:w="4035" w:type="dxa"/>
            <w:tcBorders>
              <w:top w:val="nil"/>
              <w:left w:val="single" w:color="auto" w:sz="4" w:space="0"/>
              <w:bottom w:val="single" w:color="auto" w:sz="4" w:space="0"/>
              <w:right w:val="single" w:color="auto" w:sz="4" w:space="0"/>
            </w:tcBorders>
            <w:shd w:val="clear" w:color="auto" w:fill="auto"/>
            <w:vAlign w:val="center"/>
          </w:tcPr>
          <w:p w14:paraId="75ECD713">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合   计</w:t>
            </w:r>
          </w:p>
        </w:tc>
        <w:tc>
          <w:tcPr>
            <w:tcW w:w="1707" w:type="dxa"/>
            <w:tcBorders>
              <w:top w:val="nil"/>
              <w:left w:val="nil"/>
              <w:bottom w:val="single" w:color="auto" w:sz="4" w:space="0"/>
              <w:right w:val="single" w:color="auto" w:sz="4" w:space="0"/>
            </w:tcBorders>
            <w:shd w:val="clear" w:color="auto" w:fill="auto"/>
            <w:vAlign w:val="center"/>
          </w:tcPr>
          <w:p w14:paraId="4C29835F">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169585</w:t>
            </w:r>
          </w:p>
        </w:tc>
        <w:tc>
          <w:tcPr>
            <w:tcW w:w="1707" w:type="dxa"/>
            <w:tcBorders>
              <w:top w:val="nil"/>
              <w:left w:val="nil"/>
              <w:bottom w:val="single" w:color="auto" w:sz="4" w:space="0"/>
              <w:right w:val="single" w:color="auto" w:sz="4" w:space="0"/>
            </w:tcBorders>
            <w:shd w:val="clear" w:color="auto" w:fill="auto"/>
            <w:vAlign w:val="center"/>
          </w:tcPr>
          <w:p w14:paraId="5C39033C">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178100</w:t>
            </w:r>
          </w:p>
        </w:tc>
        <w:tc>
          <w:tcPr>
            <w:tcW w:w="1409" w:type="dxa"/>
            <w:tcBorders>
              <w:top w:val="nil"/>
              <w:left w:val="nil"/>
              <w:bottom w:val="single" w:color="auto" w:sz="4" w:space="0"/>
              <w:right w:val="single" w:color="auto" w:sz="4" w:space="0"/>
            </w:tcBorders>
            <w:shd w:val="clear" w:color="auto" w:fill="auto"/>
            <w:vAlign w:val="center"/>
          </w:tcPr>
          <w:p w14:paraId="60CBA97B">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5.0%</w:t>
            </w:r>
          </w:p>
        </w:tc>
      </w:tr>
    </w:tbl>
    <w:p w14:paraId="3828EE16">
      <w:pPr>
        <w:keepNext w:val="0"/>
        <w:keepLines w:val="0"/>
        <w:pageBreakBefore w:val="0"/>
        <w:widowControl w:val="0"/>
        <w:kinsoku/>
        <w:wordWrap/>
        <w:overflowPunct/>
        <w:topLinePunct w:val="0"/>
        <w:bidi w:val="0"/>
        <w:adjustRightInd/>
        <w:snapToGrid/>
        <w:spacing w:line="572" w:lineRule="exact"/>
        <w:jc w:val="both"/>
        <w:textAlignment w:val="auto"/>
        <w:outlineLvl w:val="9"/>
        <w:rPr>
          <w:rFonts w:hint="eastAsia" w:ascii="仿宋_GB2312" w:hAnsi="仿宋_GB2312" w:eastAsia="仿宋_GB2312" w:cs="仿宋_GB2312"/>
          <w:color w:val="auto"/>
          <w:sz w:val="32"/>
          <w:szCs w:val="32"/>
        </w:rPr>
        <w:sectPr>
          <w:pgSz w:w="11906" w:h="16838"/>
          <w:pgMar w:top="1757" w:right="1474" w:bottom="1701" w:left="1587" w:header="851" w:footer="1134" w:gutter="0"/>
          <w:pgBorders>
            <w:top w:val="none" w:sz="0" w:space="0"/>
            <w:left w:val="none" w:sz="0" w:space="0"/>
            <w:bottom w:val="none" w:sz="0" w:space="0"/>
            <w:right w:val="none" w:sz="0" w:space="0"/>
          </w:pgBorders>
          <w:pgNumType w:fmt="numberInDash"/>
          <w:cols w:space="0" w:num="1"/>
          <w:rtlGutter w:val="0"/>
          <w:docGrid w:type="lines" w:linePitch="312" w:charSpace="0"/>
        </w:sectPr>
      </w:pPr>
    </w:p>
    <w:p w14:paraId="6BD84B17">
      <w:pPr>
        <w:pStyle w:val="48"/>
        <w:keepNext w:val="0"/>
        <w:keepLines w:val="0"/>
        <w:pageBreakBefore w:val="0"/>
        <w:widowControl w:val="0"/>
        <w:kinsoku/>
        <w:wordWrap/>
        <w:overflowPunct/>
        <w:topLinePunct w:val="0"/>
        <w:autoSpaceDE/>
        <w:autoSpaceDN/>
        <w:bidi w:val="0"/>
        <w:adjustRightInd/>
        <w:snapToGrid/>
        <w:spacing w:before="0" w:after="0" w:line="572" w:lineRule="exact"/>
        <w:jc w:val="center"/>
        <w:textAlignment w:val="auto"/>
        <w:outlineLvl w:val="9"/>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关于</w:t>
      </w:r>
      <w:r>
        <w:rPr>
          <w:rFonts w:hint="eastAsia" w:hAnsi="方正小标宋简体" w:cs="方正小标宋简体"/>
          <w:b w:val="0"/>
          <w:bCs w:val="0"/>
          <w:sz w:val="44"/>
          <w:szCs w:val="44"/>
          <w:highlight w:val="none"/>
          <w:lang w:val="en-US" w:eastAsia="zh-CN"/>
        </w:rPr>
        <w:t>2026</w:t>
      </w:r>
      <w:r>
        <w:rPr>
          <w:rFonts w:hint="eastAsia" w:ascii="方正小标宋简体" w:hAnsi="方正小标宋简体" w:eastAsia="方正小标宋简体" w:cs="方正小标宋简体"/>
          <w:b w:val="0"/>
          <w:bCs w:val="0"/>
          <w:sz w:val="44"/>
          <w:szCs w:val="44"/>
          <w:highlight w:val="none"/>
        </w:rPr>
        <w:t>年一般公共预算收入预算</w:t>
      </w:r>
    </w:p>
    <w:p w14:paraId="12E0BD5C">
      <w:pPr>
        <w:pStyle w:val="48"/>
        <w:keepNext w:val="0"/>
        <w:keepLines w:val="0"/>
        <w:pageBreakBefore w:val="0"/>
        <w:widowControl w:val="0"/>
        <w:kinsoku/>
        <w:wordWrap/>
        <w:overflowPunct/>
        <w:topLinePunct w:val="0"/>
        <w:autoSpaceDE/>
        <w:autoSpaceDN/>
        <w:bidi w:val="0"/>
        <w:adjustRightInd/>
        <w:snapToGrid/>
        <w:spacing w:before="0" w:after="0" w:line="572" w:lineRule="exact"/>
        <w:jc w:val="center"/>
        <w:textAlignment w:val="auto"/>
        <w:outlineLvl w:val="9"/>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情况的说明</w:t>
      </w:r>
    </w:p>
    <w:p w14:paraId="6AAF4B6B">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rPr>
      </w:pPr>
    </w:p>
    <w:p w14:paraId="07663874">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2026</w:t>
      </w:r>
      <w:r>
        <w:rPr>
          <w:rFonts w:hint="eastAsia" w:ascii="仿宋_GB2312" w:hAnsi="仿宋_GB2312" w:eastAsia="仿宋_GB2312" w:cs="仿宋_GB2312"/>
          <w:b w:val="0"/>
          <w:bCs w:val="0"/>
          <w:color w:val="000000"/>
          <w:sz w:val="32"/>
          <w:szCs w:val="32"/>
          <w:highlight w:val="none"/>
        </w:rPr>
        <w:t>年县本级一般公共预算收入总计为</w:t>
      </w:r>
      <w:r>
        <w:rPr>
          <w:rFonts w:hint="eastAsia" w:ascii="仿宋_GB2312" w:hAnsi="仿宋_GB2312" w:eastAsia="仿宋_GB2312" w:cs="仿宋_GB2312"/>
          <w:b w:val="0"/>
          <w:bCs w:val="0"/>
          <w:color w:val="000000"/>
          <w:sz w:val="32"/>
          <w:szCs w:val="32"/>
          <w:highlight w:val="none"/>
          <w:lang w:val="en-US" w:eastAsia="zh-CN"/>
        </w:rPr>
        <w:t>414513</w:t>
      </w:r>
      <w:r>
        <w:rPr>
          <w:rFonts w:hint="eastAsia" w:ascii="仿宋_GB2312" w:hAnsi="仿宋_GB2312" w:eastAsia="仿宋_GB2312" w:cs="仿宋_GB2312"/>
          <w:b w:val="0"/>
          <w:bCs w:val="0"/>
          <w:color w:val="000000"/>
          <w:sz w:val="32"/>
          <w:szCs w:val="32"/>
          <w:highlight w:val="none"/>
        </w:rPr>
        <w:t>万元，其中：县本级收入</w:t>
      </w:r>
      <w:r>
        <w:rPr>
          <w:rFonts w:hint="eastAsia" w:ascii="仿宋_GB2312" w:hAnsi="仿宋_GB2312" w:eastAsia="仿宋_GB2312" w:cs="仿宋_GB2312"/>
          <w:b w:val="0"/>
          <w:bCs w:val="0"/>
          <w:color w:val="000000"/>
          <w:sz w:val="32"/>
          <w:szCs w:val="32"/>
          <w:highlight w:val="none"/>
          <w:lang w:val="en-US" w:eastAsia="zh-CN"/>
        </w:rPr>
        <w:t>178100</w:t>
      </w:r>
      <w:r>
        <w:rPr>
          <w:rFonts w:hint="eastAsia" w:ascii="仿宋_GB2312" w:hAnsi="仿宋_GB2312" w:eastAsia="仿宋_GB2312" w:cs="仿宋_GB2312"/>
          <w:b w:val="0"/>
          <w:bCs w:val="0"/>
          <w:color w:val="000000"/>
          <w:sz w:val="32"/>
          <w:szCs w:val="32"/>
          <w:highlight w:val="none"/>
        </w:rPr>
        <w:t>万元，上级补助收入</w:t>
      </w:r>
      <w:r>
        <w:rPr>
          <w:rFonts w:hint="eastAsia" w:ascii="仿宋_GB2312" w:hAnsi="仿宋_GB2312" w:eastAsia="仿宋_GB2312" w:cs="仿宋_GB2312"/>
          <w:b w:val="0"/>
          <w:bCs w:val="0"/>
          <w:color w:val="000000"/>
          <w:sz w:val="32"/>
          <w:szCs w:val="32"/>
          <w:highlight w:val="none"/>
          <w:lang w:val="en-US" w:eastAsia="zh-CN"/>
        </w:rPr>
        <w:t>235907</w:t>
      </w:r>
      <w:r>
        <w:rPr>
          <w:rFonts w:hint="eastAsia" w:ascii="仿宋_GB2312" w:hAnsi="仿宋_GB2312" w:eastAsia="仿宋_GB2312" w:cs="仿宋_GB2312"/>
          <w:b w:val="0"/>
          <w:bCs w:val="0"/>
          <w:color w:val="000000"/>
          <w:sz w:val="32"/>
          <w:szCs w:val="32"/>
          <w:highlight w:val="none"/>
        </w:rPr>
        <w:t>万元（返还性收入5910万元，一般性转移支付收入</w:t>
      </w:r>
      <w:r>
        <w:rPr>
          <w:rFonts w:hint="eastAsia" w:ascii="仿宋_GB2312" w:hAnsi="仿宋_GB2312" w:eastAsia="仿宋_GB2312" w:cs="仿宋_GB2312"/>
          <w:b w:val="0"/>
          <w:bCs w:val="0"/>
          <w:color w:val="000000"/>
          <w:sz w:val="32"/>
          <w:szCs w:val="32"/>
          <w:highlight w:val="none"/>
          <w:lang w:val="en-US" w:eastAsia="zh-CN"/>
        </w:rPr>
        <w:t>222812</w:t>
      </w:r>
      <w:r>
        <w:rPr>
          <w:rFonts w:hint="eastAsia" w:ascii="仿宋_GB2312" w:hAnsi="仿宋_GB2312" w:eastAsia="仿宋_GB2312" w:cs="仿宋_GB2312"/>
          <w:b w:val="0"/>
          <w:bCs w:val="0"/>
          <w:color w:val="000000"/>
          <w:sz w:val="32"/>
          <w:szCs w:val="32"/>
          <w:highlight w:val="none"/>
        </w:rPr>
        <w:t>万元，专项转移支付</w:t>
      </w:r>
      <w:r>
        <w:rPr>
          <w:rFonts w:hint="eastAsia" w:ascii="仿宋_GB2312" w:hAnsi="仿宋_GB2312" w:eastAsia="仿宋_GB2312" w:cs="仿宋_GB2312"/>
          <w:b w:val="0"/>
          <w:bCs w:val="0"/>
          <w:color w:val="000000"/>
          <w:spacing w:val="-6"/>
          <w:sz w:val="32"/>
          <w:szCs w:val="32"/>
          <w:highlight w:val="none"/>
        </w:rPr>
        <w:t>收入</w:t>
      </w:r>
      <w:r>
        <w:rPr>
          <w:rFonts w:hint="eastAsia" w:ascii="仿宋_GB2312" w:hAnsi="仿宋_GB2312" w:eastAsia="仿宋_GB2312" w:cs="仿宋_GB2312"/>
          <w:b w:val="0"/>
          <w:bCs w:val="0"/>
          <w:color w:val="000000"/>
          <w:spacing w:val="-6"/>
          <w:sz w:val="32"/>
          <w:szCs w:val="32"/>
          <w:highlight w:val="none"/>
          <w:lang w:val="en-US" w:eastAsia="zh-CN"/>
        </w:rPr>
        <w:t>7185</w:t>
      </w:r>
      <w:r>
        <w:rPr>
          <w:rFonts w:hint="eastAsia" w:ascii="仿宋_GB2312" w:hAnsi="仿宋_GB2312" w:eastAsia="仿宋_GB2312" w:cs="仿宋_GB2312"/>
          <w:b w:val="0"/>
          <w:bCs w:val="0"/>
          <w:color w:val="000000"/>
          <w:spacing w:val="-6"/>
          <w:sz w:val="32"/>
          <w:szCs w:val="32"/>
          <w:highlight w:val="none"/>
        </w:rPr>
        <w:t>万元），上年结余收入</w:t>
      </w:r>
      <w:r>
        <w:rPr>
          <w:rFonts w:hint="eastAsia" w:ascii="仿宋_GB2312" w:hAnsi="仿宋_GB2312" w:eastAsia="仿宋_GB2312" w:cs="仿宋_GB2312"/>
          <w:b w:val="0"/>
          <w:bCs w:val="0"/>
          <w:color w:val="000000"/>
          <w:spacing w:val="-6"/>
          <w:sz w:val="32"/>
          <w:szCs w:val="32"/>
          <w:highlight w:val="none"/>
          <w:lang w:val="en-US" w:eastAsia="zh-CN"/>
        </w:rPr>
        <w:t>506</w:t>
      </w:r>
      <w:r>
        <w:rPr>
          <w:rFonts w:hint="eastAsia" w:ascii="仿宋_GB2312" w:hAnsi="仿宋_GB2312" w:eastAsia="仿宋_GB2312" w:cs="仿宋_GB2312"/>
          <w:b w:val="0"/>
          <w:bCs w:val="0"/>
          <w:color w:val="000000"/>
          <w:spacing w:val="-6"/>
          <w:sz w:val="32"/>
          <w:szCs w:val="32"/>
          <w:highlight w:val="none"/>
        </w:rPr>
        <w:t>万元。</w:t>
      </w:r>
    </w:p>
    <w:p w14:paraId="04D4BB2C">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县本级一般公共预算收入</w:t>
      </w:r>
      <w:r>
        <w:rPr>
          <w:rFonts w:hint="eastAsia" w:ascii="仿宋_GB2312" w:hAnsi="仿宋_GB2312" w:eastAsia="仿宋_GB2312" w:cs="仿宋_GB2312"/>
          <w:b w:val="0"/>
          <w:bCs w:val="0"/>
          <w:color w:val="000000"/>
          <w:sz w:val="32"/>
          <w:szCs w:val="32"/>
          <w:highlight w:val="none"/>
          <w:lang w:val="en-US" w:eastAsia="zh-CN"/>
        </w:rPr>
        <w:t>178100</w:t>
      </w:r>
      <w:r>
        <w:rPr>
          <w:rFonts w:hint="eastAsia" w:ascii="仿宋_GB2312" w:hAnsi="仿宋_GB2312" w:eastAsia="仿宋_GB2312" w:cs="仿宋_GB2312"/>
          <w:b w:val="0"/>
          <w:bCs w:val="0"/>
          <w:color w:val="000000"/>
          <w:sz w:val="32"/>
          <w:szCs w:val="32"/>
          <w:highlight w:val="none"/>
        </w:rPr>
        <w:t>万元，增长</w:t>
      </w:r>
      <w:r>
        <w:rPr>
          <w:rFonts w:hint="eastAsia" w:ascii="仿宋_GB2312" w:hAnsi="仿宋_GB2312" w:eastAsia="仿宋_GB2312" w:cs="仿宋_GB2312"/>
          <w:b w:val="0"/>
          <w:bCs w:val="0"/>
          <w:color w:val="000000"/>
          <w:sz w:val="32"/>
          <w:szCs w:val="32"/>
          <w:highlight w:val="none"/>
          <w:lang w:val="en-US" w:eastAsia="zh-CN"/>
        </w:rPr>
        <w:t>5</w:t>
      </w:r>
      <w:r>
        <w:rPr>
          <w:rFonts w:hint="eastAsia" w:ascii="仿宋_GB2312" w:hAnsi="仿宋_GB2312" w:eastAsia="仿宋_GB2312" w:cs="仿宋_GB2312"/>
          <w:b w:val="0"/>
          <w:bCs w:val="0"/>
          <w:color w:val="000000"/>
          <w:sz w:val="32"/>
          <w:szCs w:val="32"/>
          <w:highlight w:val="none"/>
        </w:rPr>
        <w:t>%；其中：税收收入</w:t>
      </w:r>
      <w:r>
        <w:rPr>
          <w:rFonts w:hint="eastAsia" w:ascii="仿宋_GB2312" w:hAnsi="仿宋_GB2312" w:eastAsia="仿宋_GB2312" w:cs="仿宋_GB2312"/>
          <w:b w:val="0"/>
          <w:bCs w:val="0"/>
          <w:color w:val="000000"/>
          <w:sz w:val="32"/>
          <w:szCs w:val="32"/>
          <w:highlight w:val="none"/>
          <w:lang w:val="en-US" w:eastAsia="zh-CN"/>
        </w:rPr>
        <w:t>125000</w:t>
      </w:r>
      <w:r>
        <w:rPr>
          <w:rFonts w:hint="eastAsia" w:ascii="仿宋_GB2312" w:hAnsi="仿宋_GB2312" w:eastAsia="仿宋_GB2312" w:cs="仿宋_GB2312"/>
          <w:b w:val="0"/>
          <w:bCs w:val="0"/>
          <w:color w:val="000000"/>
          <w:sz w:val="32"/>
          <w:szCs w:val="32"/>
          <w:highlight w:val="none"/>
        </w:rPr>
        <w:t>万元，增长</w:t>
      </w:r>
      <w:r>
        <w:rPr>
          <w:rFonts w:hint="eastAsia" w:ascii="仿宋_GB2312" w:hAnsi="仿宋_GB2312" w:eastAsia="仿宋_GB2312" w:cs="仿宋_GB2312"/>
          <w:b w:val="0"/>
          <w:bCs w:val="0"/>
          <w:color w:val="000000"/>
          <w:sz w:val="32"/>
          <w:szCs w:val="32"/>
          <w:highlight w:val="none"/>
          <w:lang w:val="en-US" w:eastAsia="zh-CN"/>
        </w:rPr>
        <w:t>7.5</w:t>
      </w:r>
      <w:r>
        <w:rPr>
          <w:rFonts w:hint="eastAsia" w:ascii="仿宋_GB2312" w:hAnsi="仿宋_GB2312" w:eastAsia="仿宋_GB2312" w:cs="仿宋_GB2312"/>
          <w:b w:val="0"/>
          <w:bCs w:val="0"/>
          <w:color w:val="000000"/>
          <w:sz w:val="32"/>
          <w:szCs w:val="32"/>
          <w:highlight w:val="none"/>
        </w:rPr>
        <w:t>%；非税收入</w:t>
      </w:r>
      <w:r>
        <w:rPr>
          <w:rFonts w:hint="eastAsia" w:ascii="仿宋_GB2312" w:hAnsi="仿宋_GB2312" w:eastAsia="仿宋_GB2312" w:cs="仿宋_GB2312"/>
          <w:b w:val="0"/>
          <w:bCs w:val="0"/>
          <w:color w:val="000000"/>
          <w:sz w:val="32"/>
          <w:szCs w:val="32"/>
          <w:highlight w:val="none"/>
          <w:lang w:val="en-US" w:eastAsia="zh-CN"/>
        </w:rPr>
        <w:t>53100</w:t>
      </w:r>
      <w:r>
        <w:rPr>
          <w:rFonts w:hint="eastAsia" w:ascii="仿宋_GB2312" w:hAnsi="仿宋_GB2312" w:eastAsia="仿宋_GB2312" w:cs="仿宋_GB2312"/>
          <w:b w:val="0"/>
          <w:bCs w:val="0"/>
          <w:color w:val="000000"/>
          <w:sz w:val="32"/>
          <w:szCs w:val="32"/>
          <w:highlight w:val="none"/>
        </w:rPr>
        <w:t>万元，</w:t>
      </w:r>
      <w:r>
        <w:rPr>
          <w:rFonts w:hint="eastAsia" w:ascii="仿宋_GB2312" w:hAnsi="仿宋_GB2312" w:eastAsia="仿宋_GB2312" w:cs="仿宋_GB2312"/>
          <w:b w:val="0"/>
          <w:bCs w:val="0"/>
          <w:color w:val="000000"/>
          <w:sz w:val="32"/>
          <w:szCs w:val="32"/>
          <w:highlight w:val="none"/>
          <w:lang w:val="en-US" w:eastAsia="zh-CN"/>
        </w:rPr>
        <w:t>下降0.3</w:t>
      </w:r>
      <w:r>
        <w:rPr>
          <w:rFonts w:hint="eastAsia" w:ascii="仿宋_GB2312" w:hAnsi="仿宋_GB2312" w:eastAsia="仿宋_GB2312" w:cs="仿宋_GB2312"/>
          <w:b w:val="0"/>
          <w:bCs w:val="0"/>
          <w:color w:val="000000"/>
          <w:sz w:val="32"/>
          <w:szCs w:val="32"/>
          <w:highlight w:val="none"/>
        </w:rPr>
        <w:t>%。主要项目情况是：</w:t>
      </w:r>
    </w:p>
    <w:p w14:paraId="389FEE44">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rPr>
        <w:t>1.增值税</w:t>
      </w:r>
      <w:r>
        <w:rPr>
          <w:rFonts w:hint="eastAsia" w:ascii="仿宋_GB2312" w:hAnsi="仿宋_GB2312" w:eastAsia="仿宋_GB2312" w:cs="仿宋_GB2312"/>
          <w:b w:val="0"/>
          <w:bCs w:val="0"/>
          <w:color w:val="000000"/>
          <w:sz w:val="32"/>
          <w:szCs w:val="32"/>
          <w:highlight w:val="none"/>
          <w:lang w:val="en-US" w:eastAsia="zh-CN"/>
        </w:rPr>
        <w:t>28800</w:t>
      </w:r>
      <w:r>
        <w:rPr>
          <w:rFonts w:hint="eastAsia" w:ascii="仿宋_GB2312" w:hAnsi="仿宋_GB2312" w:eastAsia="仿宋_GB2312" w:cs="仿宋_GB2312"/>
          <w:b w:val="0"/>
          <w:bCs w:val="0"/>
          <w:color w:val="000000"/>
          <w:sz w:val="32"/>
          <w:szCs w:val="32"/>
          <w:highlight w:val="none"/>
        </w:rPr>
        <w:t>万元</w:t>
      </w:r>
      <w:r>
        <w:rPr>
          <w:rFonts w:hint="eastAsia" w:ascii="仿宋_GB2312" w:hAnsi="仿宋_GB2312" w:eastAsia="仿宋_GB2312" w:cs="仿宋_GB2312"/>
          <w:b w:val="0"/>
          <w:bCs w:val="0"/>
          <w:color w:val="000000"/>
          <w:sz w:val="32"/>
          <w:szCs w:val="32"/>
          <w:highlight w:val="none"/>
          <w:lang w:eastAsia="zh-CN"/>
        </w:rPr>
        <w:t>；</w:t>
      </w:r>
    </w:p>
    <w:p w14:paraId="1CF21B55">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rPr>
        <w:t>2.企业所得税</w:t>
      </w:r>
      <w:r>
        <w:rPr>
          <w:rFonts w:hint="eastAsia" w:ascii="仿宋_GB2312" w:hAnsi="仿宋_GB2312" w:eastAsia="仿宋_GB2312" w:cs="仿宋_GB2312"/>
          <w:b w:val="0"/>
          <w:bCs w:val="0"/>
          <w:color w:val="000000"/>
          <w:sz w:val="32"/>
          <w:szCs w:val="32"/>
          <w:highlight w:val="none"/>
          <w:lang w:val="en-US" w:eastAsia="zh-CN"/>
        </w:rPr>
        <w:t>9200</w:t>
      </w:r>
      <w:r>
        <w:rPr>
          <w:rFonts w:hint="eastAsia" w:ascii="仿宋_GB2312" w:hAnsi="仿宋_GB2312" w:eastAsia="仿宋_GB2312" w:cs="仿宋_GB2312"/>
          <w:b w:val="0"/>
          <w:bCs w:val="0"/>
          <w:color w:val="000000"/>
          <w:sz w:val="32"/>
          <w:szCs w:val="32"/>
          <w:highlight w:val="none"/>
        </w:rPr>
        <w:t>万元</w:t>
      </w:r>
      <w:r>
        <w:rPr>
          <w:rFonts w:hint="eastAsia" w:ascii="仿宋_GB2312" w:hAnsi="仿宋_GB2312" w:eastAsia="仿宋_GB2312" w:cs="仿宋_GB2312"/>
          <w:b w:val="0"/>
          <w:bCs w:val="0"/>
          <w:color w:val="000000"/>
          <w:sz w:val="32"/>
          <w:szCs w:val="32"/>
          <w:highlight w:val="none"/>
          <w:lang w:eastAsia="zh-CN"/>
        </w:rPr>
        <w:t>；</w:t>
      </w:r>
    </w:p>
    <w:p w14:paraId="0DC570B7">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rPr>
        <w:t>3.资源税</w:t>
      </w:r>
      <w:r>
        <w:rPr>
          <w:rFonts w:hint="eastAsia" w:ascii="仿宋_GB2312" w:hAnsi="仿宋_GB2312" w:eastAsia="仿宋_GB2312" w:cs="仿宋_GB2312"/>
          <w:b w:val="0"/>
          <w:bCs w:val="0"/>
          <w:color w:val="000000"/>
          <w:sz w:val="32"/>
          <w:szCs w:val="32"/>
          <w:highlight w:val="none"/>
          <w:lang w:val="en-US" w:eastAsia="zh-CN"/>
        </w:rPr>
        <w:t>9000</w:t>
      </w:r>
      <w:r>
        <w:rPr>
          <w:rFonts w:hint="eastAsia" w:ascii="仿宋_GB2312" w:hAnsi="仿宋_GB2312" w:eastAsia="仿宋_GB2312" w:cs="仿宋_GB2312"/>
          <w:b w:val="0"/>
          <w:bCs w:val="0"/>
          <w:color w:val="000000"/>
          <w:sz w:val="32"/>
          <w:szCs w:val="32"/>
          <w:highlight w:val="none"/>
        </w:rPr>
        <w:t>万元</w:t>
      </w:r>
      <w:r>
        <w:rPr>
          <w:rFonts w:hint="eastAsia" w:ascii="仿宋_GB2312" w:hAnsi="仿宋_GB2312" w:eastAsia="仿宋_GB2312" w:cs="仿宋_GB2312"/>
          <w:b w:val="0"/>
          <w:bCs w:val="0"/>
          <w:color w:val="000000"/>
          <w:sz w:val="32"/>
          <w:szCs w:val="32"/>
          <w:highlight w:val="none"/>
          <w:lang w:eastAsia="zh-CN"/>
        </w:rPr>
        <w:t>；</w:t>
      </w:r>
    </w:p>
    <w:p w14:paraId="29561D74">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rPr>
        <w:t>4.个人所得税</w:t>
      </w:r>
      <w:r>
        <w:rPr>
          <w:rFonts w:hint="eastAsia" w:ascii="仿宋_GB2312" w:hAnsi="仿宋_GB2312" w:eastAsia="仿宋_GB2312" w:cs="仿宋_GB2312"/>
          <w:b w:val="0"/>
          <w:bCs w:val="0"/>
          <w:color w:val="000000"/>
          <w:sz w:val="32"/>
          <w:szCs w:val="32"/>
          <w:highlight w:val="none"/>
          <w:lang w:val="en-US" w:eastAsia="zh-CN"/>
        </w:rPr>
        <w:t>1400</w:t>
      </w:r>
      <w:r>
        <w:rPr>
          <w:rFonts w:hint="eastAsia" w:ascii="仿宋_GB2312" w:hAnsi="仿宋_GB2312" w:eastAsia="仿宋_GB2312" w:cs="仿宋_GB2312"/>
          <w:b w:val="0"/>
          <w:bCs w:val="0"/>
          <w:color w:val="000000"/>
          <w:sz w:val="32"/>
          <w:szCs w:val="32"/>
          <w:highlight w:val="none"/>
        </w:rPr>
        <w:t>万元</w:t>
      </w:r>
      <w:r>
        <w:rPr>
          <w:rFonts w:hint="eastAsia" w:ascii="仿宋_GB2312" w:hAnsi="仿宋_GB2312" w:eastAsia="仿宋_GB2312" w:cs="仿宋_GB2312"/>
          <w:b w:val="0"/>
          <w:bCs w:val="0"/>
          <w:color w:val="000000"/>
          <w:sz w:val="32"/>
          <w:szCs w:val="32"/>
          <w:highlight w:val="none"/>
          <w:lang w:eastAsia="zh-CN"/>
        </w:rPr>
        <w:t>；</w:t>
      </w:r>
    </w:p>
    <w:p w14:paraId="5557388D">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rPr>
        <w:t>5.城市维护建设税</w:t>
      </w:r>
      <w:r>
        <w:rPr>
          <w:rFonts w:hint="eastAsia" w:ascii="仿宋_GB2312" w:hAnsi="仿宋_GB2312" w:eastAsia="仿宋_GB2312" w:cs="仿宋_GB2312"/>
          <w:b w:val="0"/>
          <w:bCs w:val="0"/>
          <w:color w:val="000000"/>
          <w:sz w:val="32"/>
          <w:szCs w:val="32"/>
          <w:highlight w:val="none"/>
          <w:lang w:val="en-US" w:eastAsia="zh-CN"/>
        </w:rPr>
        <w:t>2000</w:t>
      </w:r>
      <w:r>
        <w:rPr>
          <w:rFonts w:hint="eastAsia" w:ascii="仿宋_GB2312" w:hAnsi="仿宋_GB2312" w:eastAsia="仿宋_GB2312" w:cs="仿宋_GB2312"/>
          <w:b w:val="0"/>
          <w:bCs w:val="0"/>
          <w:color w:val="000000"/>
          <w:sz w:val="32"/>
          <w:szCs w:val="32"/>
          <w:highlight w:val="none"/>
        </w:rPr>
        <w:t>万元</w:t>
      </w:r>
      <w:r>
        <w:rPr>
          <w:rFonts w:hint="eastAsia" w:ascii="仿宋_GB2312" w:hAnsi="仿宋_GB2312" w:eastAsia="仿宋_GB2312" w:cs="仿宋_GB2312"/>
          <w:b w:val="0"/>
          <w:bCs w:val="0"/>
          <w:color w:val="000000"/>
          <w:sz w:val="32"/>
          <w:szCs w:val="32"/>
          <w:highlight w:val="none"/>
          <w:lang w:eastAsia="zh-CN"/>
        </w:rPr>
        <w:t>；</w:t>
      </w:r>
    </w:p>
    <w:p w14:paraId="163C68FB">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rPr>
        <w:t>6.房产税</w:t>
      </w:r>
      <w:r>
        <w:rPr>
          <w:rFonts w:hint="eastAsia" w:ascii="仿宋_GB2312" w:hAnsi="仿宋_GB2312" w:eastAsia="仿宋_GB2312" w:cs="仿宋_GB2312"/>
          <w:b w:val="0"/>
          <w:bCs w:val="0"/>
          <w:color w:val="000000"/>
          <w:sz w:val="32"/>
          <w:szCs w:val="32"/>
          <w:highlight w:val="none"/>
          <w:lang w:val="en-US" w:eastAsia="zh-CN"/>
        </w:rPr>
        <w:t>6000</w:t>
      </w:r>
      <w:r>
        <w:rPr>
          <w:rFonts w:hint="eastAsia" w:ascii="仿宋_GB2312" w:hAnsi="仿宋_GB2312" w:eastAsia="仿宋_GB2312" w:cs="仿宋_GB2312"/>
          <w:b w:val="0"/>
          <w:bCs w:val="0"/>
          <w:color w:val="000000"/>
          <w:sz w:val="32"/>
          <w:szCs w:val="32"/>
          <w:highlight w:val="none"/>
        </w:rPr>
        <w:t>万元</w:t>
      </w:r>
      <w:r>
        <w:rPr>
          <w:rFonts w:hint="eastAsia" w:ascii="仿宋_GB2312" w:hAnsi="仿宋_GB2312" w:eastAsia="仿宋_GB2312" w:cs="仿宋_GB2312"/>
          <w:b w:val="0"/>
          <w:bCs w:val="0"/>
          <w:color w:val="000000"/>
          <w:sz w:val="32"/>
          <w:szCs w:val="32"/>
          <w:highlight w:val="none"/>
          <w:lang w:eastAsia="zh-CN"/>
        </w:rPr>
        <w:t>；</w:t>
      </w:r>
    </w:p>
    <w:p w14:paraId="4D9E7F6B">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rPr>
        <w:t>7.印花税</w:t>
      </w:r>
      <w:r>
        <w:rPr>
          <w:rFonts w:hint="eastAsia" w:ascii="仿宋_GB2312" w:hAnsi="仿宋_GB2312" w:eastAsia="仿宋_GB2312" w:cs="仿宋_GB2312"/>
          <w:b w:val="0"/>
          <w:bCs w:val="0"/>
          <w:color w:val="000000"/>
          <w:sz w:val="32"/>
          <w:szCs w:val="32"/>
          <w:highlight w:val="none"/>
          <w:lang w:val="en-US" w:eastAsia="zh-CN"/>
        </w:rPr>
        <w:t>2600</w:t>
      </w:r>
      <w:r>
        <w:rPr>
          <w:rFonts w:hint="eastAsia" w:ascii="仿宋_GB2312" w:hAnsi="仿宋_GB2312" w:eastAsia="仿宋_GB2312" w:cs="仿宋_GB2312"/>
          <w:b w:val="0"/>
          <w:bCs w:val="0"/>
          <w:color w:val="000000"/>
          <w:sz w:val="32"/>
          <w:szCs w:val="32"/>
          <w:highlight w:val="none"/>
        </w:rPr>
        <w:t>万元</w:t>
      </w:r>
      <w:r>
        <w:rPr>
          <w:rFonts w:hint="eastAsia" w:ascii="仿宋_GB2312" w:hAnsi="仿宋_GB2312" w:eastAsia="仿宋_GB2312" w:cs="仿宋_GB2312"/>
          <w:b w:val="0"/>
          <w:bCs w:val="0"/>
          <w:color w:val="000000"/>
          <w:sz w:val="32"/>
          <w:szCs w:val="32"/>
          <w:highlight w:val="none"/>
          <w:lang w:eastAsia="zh-CN"/>
        </w:rPr>
        <w:t>；</w:t>
      </w:r>
    </w:p>
    <w:p w14:paraId="29515ABA">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rPr>
        <w:t>8.城镇土地使用税</w:t>
      </w:r>
      <w:r>
        <w:rPr>
          <w:rFonts w:hint="eastAsia" w:ascii="仿宋_GB2312" w:hAnsi="仿宋_GB2312" w:eastAsia="仿宋_GB2312" w:cs="仿宋_GB2312"/>
          <w:b w:val="0"/>
          <w:bCs w:val="0"/>
          <w:color w:val="000000"/>
          <w:sz w:val="32"/>
          <w:szCs w:val="32"/>
          <w:highlight w:val="none"/>
          <w:lang w:val="en-US" w:eastAsia="zh-CN"/>
        </w:rPr>
        <w:t>9000</w:t>
      </w:r>
      <w:r>
        <w:rPr>
          <w:rFonts w:hint="eastAsia" w:ascii="仿宋_GB2312" w:hAnsi="仿宋_GB2312" w:eastAsia="仿宋_GB2312" w:cs="仿宋_GB2312"/>
          <w:b w:val="0"/>
          <w:bCs w:val="0"/>
          <w:color w:val="000000"/>
          <w:sz w:val="32"/>
          <w:szCs w:val="32"/>
          <w:highlight w:val="none"/>
        </w:rPr>
        <w:t>万元</w:t>
      </w:r>
      <w:r>
        <w:rPr>
          <w:rFonts w:hint="eastAsia" w:ascii="仿宋_GB2312" w:hAnsi="仿宋_GB2312" w:eastAsia="仿宋_GB2312" w:cs="仿宋_GB2312"/>
          <w:b w:val="0"/>
          <w:bCs w:val="0"/>
          <w:color w:val="000000"/>
          <w:sz w:val="32"/>
          <w:szCs w:val="32"/>
          <w:highlight w:val="none"/>
          <w:lang w:eastAsia="zh-CN"/>
        </w:rPr>
        <w:t>；</w:t>
      </w:r>
    </w:p>
    <w:p w14:paraId="0CA985B6">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rPr>
        <w:t>9.土地增值税</w:t>
      </w:r>
      <w:r>
        <w:rPr>
          <w:rFonts w:hint="eastAsia" w:ascii="仿宋_GB2312" w:hAnsi="仿宋_GB2312" w:eastAsia="仿宋_GB2312" w:cs="仿宋_GB2312"/>
          <w:b w:val="0"/>
          <w:bCs w:val="0"/>
          <w:color w:val="000000"/>
          <w:sz w:val="32"/>
          <w:szCs w:val="32"/>
          <w:highlight w:val="none"/>
          <w:lang w:val="en-US" w:eastAsia="zh-CN"/>
        </w:rPr>
        <w:t>16000</w:t>
      </w:r>
      <w:r>
        <w:rPr>
          <w:rFonts w:hint="eastAsia" w:ascii="仿宋_GB2312" w:hAnsi="仿宋_GB2312" w:eastAsia="仿宋_GB2312" w:cs="仿宋_GB2312"/>
          <w:b w:val="0"/>
          <w:bCs w:val="0"/>
          <w:color w:val="000000"/>
          <w:sz w:val="32"/>
          <w:szCs w:val="32"/>
          <w:highlight w:val="none"/>
        </w:rPr>
        <w:t>万元</w:t>
      </w:r>
      <w:r>
        <w:rPr>
          <w:rFonts w:hint="eastAsia" w:ascii="仿宋_GB2312" w:hAnsi="仿宋_GB2312" w:eastAsia="仿宋_GB2312" w:cs="仿宋_GB2312"/>
          <w:b w:val="0"/>
          <w:bCs w:val="0"/>
          <w:color w:val="000000"/>
          <w:sz w:val="32"/>
          <w:szCs w:val="32"/>
          <w:highlight w:val="none"/>
          <w:lang w:eastAsia="zh-CN"/>
        </w:rPr>
        <w:t>；</w:t>
      </w:r>
    </w:p>
    <w:p w14:paraId="3F2ED6BC">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rPr>
        <w:t>10.车船税</w:t>
      </w:r>
      <w:r>
        <w:rPr>
          <w:rFonts w:hint="eastAsia" w:ascii="仿宋_GB2312" w:hAnsi="仿宋_GB2312" w:eastAsia="仿宋_GB2312" w:cs="仿宋_GB2312"/>
          <w:b w:val="0"/>
          <w:bCs w:val="0"/>
          <w:color w:val="000000"/>
          <w:sz w:val="32"/>
          <w:szCs w:val="32"/>
          <w:highlight w:val="none"/>
          <w:lang w:val="en-US" w:eastAsia="zh-CN"/>
        </w:rPr>
        <w:t>4000</w:t>
      </w:r>
      <w:r>
        <w:rPr>
          <w:rFonts w:hint="eastAsia" w:ascii="仿宋_GB2312" w:hAnsi="仿宋_GB2312" w:eastAsia="仿宋_GB2312" w:cs="仿宋_GB2312"/>
          <w:b w:val="0"/>
          <w:bCs w:val="0"/>
          <w:color w:val="000000"/>
          <w:sz w:val="32"/>
          <w:szCs w:val="32"/>
          <w:highlight w:val="none"/>
        </w:rPr>
        <w:t>万元</w:t>
      </w:r>
      <w:r>
        <w:rPr>
          <w:rFonts w:hint="eastAsia" w:ascii="仿宋_GB2312" w:hAnsi="仿宋_GB2312" w:eastAsia="仿宋_GB2312" w:cs="仿宋_GB2312"/>
          <w:b w:val="0"/>
          <w:bCs w:val="0"/>
          <w:color w:val="000000"/>
          <w:sz w:val="32"/>
          <w:szCs w:val="32"/>
          <w:highlight w:val="none"/>
          <w:lang w:eastAsia="zh-CN"/>
        </w:rPr>
        <w:t>；</w:t>
      </w:r>
    </w:p>
    <w:p w14:paraId="2D6B4B49">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rPr>
        <w:t>11.耕地占用税</w:t>
      </w:r>
      <w:r>
        <w:rPr>
          <w:rFonts w:hint="eastAsia" w:ascii="仿宋_GB2312" w:hAnsi="仿宋_GB2312" w:eastAsia="仿宋_GB2312" w:cs="仿宋_GB2312"/>
          <w:b w:val="0"/>
          <w:bCs w:val="0"/>
          <w:color w:val="000000"/>
          <w:sz w:val="32"/>
          <w:szCs w:val="32"/>
          <w:highlight w:val="none"/>
          <w:lang w:val="en-US" w:eastAsia="zh-CN"/>
        </w:rPr>
        <w:t>15000</w:t>
      </w:r>
      <w:r>
        <w:rPr>
          <w:rFonts w:hint="eastAsia" w:ascii="仿宋_GB2312" w:hAnsi="仿宋_GB2312" w:eastAsia="仿宋_GB2312" w:cs="仿宋_GB2312"/>
          <w:b w:val="0"/>
          <w:bCs w:val="0"/>
          <w:color w:val="000000"/>
          <w:sz w:val="32"/>
          <w:szCs w:val="32"/>
          <w:highlight w:val="none"/>
        </w:rPr>
        <w:t>万元</w:t>
      </w:r>
      <w:r>
        <w:rPr>
          <w:rFonts w:hint="eastAsia" w:ascii="仿宋_GB2312" w:hAnsi="仿宋_GB2312" w:eastAsia="仿宋_GB2312" w:cs="仿宋_GB2312"/>
          <w:b w:val="0"/>
          <w:bCs w:val="0"/>
          <w:color w:val="000000"/>
          <w:sz w:val="32"/>
          <w:szCs w:val="32"/>
          <w:highlight w:val="none"/>
          <w:lang w:eastAsia="zh-CN"/>
        </w:rPr>
        <w:t>；</w:t>
      </w:r>
    </w:p>
    <w:p w14:paraId="3EB00DC0">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rPr>
        <w:t>12.契税</w:t>
      </w:r>
      <w:r>
        <w:rPr>
          <w:rFonts w:hint="eastAsia" w:ascii="仿宋_GB2312" w:hAnsi="仿宋_GB2312" w:eastAsia="仿宋_GB2312" w:cs="仿宋_GB2312"/>
          <w:b w:val="0"/>
          <w:bCs w:val="0"/>
          <w:color w:val="000000"/>
          <w:sz w:val="32"/>
          <w:szCs w:val="32"/>
          <w:highlight w:val="none"/>
          <w:lang w:val="en-US" w:eastAsia="zh-CN"/>
        </w:rPr>
        <w:t>18000</w:t>
      </w:r>
      <w:r>
        <w:rPr>
          <w:rFonts w:hint="eastAsia" w:ascii="仿宋_GB2312" w:hAnsi="仿宋_GB2312" w:eastAsia="仿宋_GB2312" w:cs="仿宋_GB2312"/>
          <w:b w:val="0"/>
          <w:bCs w:val="0"/>
          <w:color w:val="000000"/>
          <w:sz w:val="32"/>
          <w:szCs w:val="32"/>
          <w:highlight w:val="none"/>
        </w:rPr>
        <w:t>万元</w:t>
      </w:r>
      <w:r>
        <w:rPr>
          <w:rFonts w:hint="eastAsia" w:ascii="仿宋_GB2312" w:hAnsi="仿宋_GB2312" w:eastAsia="仿宋_GB2312" w:cs="仿宋_GB2312"/>
          <w:b w:val="0"/>
          <w:bCs w:val="0"/>
          <w:color w:val="000000"/>
          <w:sz w:val="32"/>
          <w:szCs w:val="32"/>
          <w:highlight w:val="none"/>
          <w:lang w:eastAsia="zh-CN"/>
        </w:rPr>
        <w:t>；</w:t>
      </w:r>
    </w:p>
    <w:p w14:paraId="7CE43FC2">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rPr>
        <w:t>13.烟叶税</w:t>
      </w:r>
      <w:r>
        <w:rPr>
          <w:rFonts w:hint="eastAsia" w:ascii="仿宋_GB2312" w:hAnsi="仿宋_GB2312" w:eastAsia="仿宋_GB2312" w:cs="仿宋_GB2312"/>
          <w:b w:val="0"/>
          <w:bCs w:val="0"/>
          <w:color w:val="000000"/>
          <w:sz w:val="32"/>
          <w:szCs w:val="32"/>
          <w:highlight w:val="none"/>
          <w:lang w:val="en-US" w:eastAsia="zh-CN"/>
        </w:rPr>
        <w:t>1000</w:t>
      </w:r>
      <w:r>
        <w:rPr>
          <w:rFonts w:hint="eastAsia" w:ascii="仿宋_GB2312" w:hAnsi="仿宋_GB2312" w:eastAsia="仿宋_GB2312" w:cs="仿宋_GB2312"/>
          <w:b w:val="0"/>
          <w:bCs w:val="0"/>
          <w:color w:val="000000"/>
          <w:sz w:val="32"/>
          <w:szCs w:val="32"/>
          <w:highlight w:val="none"/>
        </w:rPr>
        <w:t>万元</w:t>
      </w:r>
      <w:r>
        <w:rPr>
          <w:rFonts w:hint="eastAsia" w:ascii="仿宋_GB2312" w:hAnsi="仿宋_GB2312" w:eastAsia="仿宋_GB2312" w:cs="仿宋_GB2312"/>
          <w:b w:val="0"/>
          <w:bCs w:val="0"/>
          <w:color w:val="000000"/>
          <w:sz w:val="32"/>
          <w:szCs w:val="32"/>
          <w:highlight w:val="none"/>
          <w:lang w:eastAsia="zh-CN"/>
        </w:rPr>
        <w:t>；</w:t>
      </w:r>
    </w:p>
    <w:p w14:paraId="1409DAD9">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rPr>
        <w:t>14.环境保护税</w:t>
      </w:r>
      <w:r>
        <w:rPr>
          <w:rFonts w:hint="eastAsia" w:ascii="仿宋_GB2312" w:hAnsi="仿宋_GB2312" w:eastAsia="仿宋_GB2312" w:cs="仿宋_GB2312"/>
          <w:b w:val="0"/>
          <w:bCs w:val="0"/>
          <w:color w:val="000000"/>
          <w:sz w:val="32"/>
          <w:szCs w:val="32"/>
          <w:highlight w:val="none"/>
          <w:lang w:val="en-US" w:eastAsia="zh-CN"/>
        </w:rPr>
        <w:t>3000</w:t>
      </w:r>
      <w:r>
        <w:rPr>
          <w:rFonts w:hint="eastAsia" w:ascii="仿宋_GB2312" w:hAnsi="仿宋_GB2312" w:eastAsia="仿宋_GB2312" w:cs="仿宋_GB2312"/>
          <w:b w:val="0"/>
          <w:bCs w:val="0"/>
          <w:color w:val="000000"/>
          <w:sz w:val="32"/>
          <w:szCs w:val="32"/>
          <w:highlight w:val="none"/>
        </w:rPr>
        <w:t>万元</w:t>
      </w:r>
      <w:r>
        <w:rPr>
          <w:rFonts w:hint="eastAsia" w:ascii="仿宋_GB2312" w:hAnsi="仿宋_GB2312" w:eastAsia="仿宋_GB2312" w:cs="仿宋_GB2312"/>
          <w:b w:val="0"/>
          <w:bCs w:val="0"/>
          <w:color w:val="000000"/>
          <w:sz w:val="32"/>
          <w:szCs w:val="32"/>
          <w:highlight w:val="none"/>
          <w:lang w:eastAsia="zh-CN"/>
        </w:rPr>
        <w:t>；</w:t>
      </w:r>
    </w:p>
    <w:p w14:paraId="79529968">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15.专项收入</w:t>
      </w:r>
      <w:r>
        <w:rPr>
          <w:rFonts w:hint="eastAsia" w:ascii="仿宋_GB2312" w:hAnsi="仿宋_GB2312" w:eastAsia="仿宋_GB2312" w:cs="仿宋_GB2312"/>
          <w:b w:val="0"/>
          <w:bCs w:val="0"/>
          <w:color w:val="000000"/>
          <w:sz w:val="32"/>
          <w:szCs w:val="32"/>
          <w:highlight w:val="none"/>
          <w:lang w:val="en-US" w:eastAsia="zh-CN"/>
        </w:rPr>
        <w:t>6200</w:t>
      </w:r>
      <w:r>
        <w:rPr>
          <w:rFonts w:hint="eastAsia" w:ascii="仿宋_GB2312" w:hAnsi="仿宋_GB2312" w:eastAsia="仿宋_GB2312" w:cs="仿宋_GB2312"/>
          <w:b w:val="0"/>
          <w:bCs w:val="0"/>
          <w:color w:val="000000"/>
          <w:sz w:val="32"/>
          <w:szCs w:val="32"/>
          <w:highlight w:val="none"/>
        </w:rPr>
        <w:t>万元</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 xml:space="preserve"> </w:t>
      </w:r>
    </w:p>
    <w:p w14:paraId="23426FEF">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rPr>
        <w:t>16.行政事业性收费</w:t>
      </w:r>
      <w:r>
        <w:rPr>
          <w:rFonts w:hint="eastAsia" w:ascii="仿宋_GB2312" w:hAnsi="仿宋_GB2312" w:eastAsia="仿宋_GB2312" w:cs="仿宋_GB2312"/>
          <w:b w:val="0"/>
          <w:bCs w:val="0"/>
          <w:color w:val="000000"/>
          <w:sz w:val="32"/>
          <w:szCs w:val="32"/>
          <w:highlight w:val="none"/>
          <w:lang w:val="en-US" w:eastAsia="zh-CN"/>
        </w:rPr>
        <w:t>收入4400</w:t>
      </w:r>
      <w:r>
        <w:rPr>
          <w:rFonts w:hint="eastAsia" w:ascii="仿宋_GB2312" w:hAnsi="仿宋_GB2312" w:eastAsia="仿宋_GB2312" w:cs="仿宋_GB2312"/>
          <w:b w:val="0"/>
          <w:bCs w:val="0"/>
          <w:color w:val="000000"/>
          <w:sz w:val="32"/>
          <w:szCs w:val="32"/>
          <w:highlight w:val="none"/>
        </w:rPr>
        <w:t>万元</w:t>
      </w:r>
      <w:r>
        <w:rPr>
          <w:rFonts w:hint="eastAsia" w:ascii="仿宋_GB2312" w:hAnsi="仿宋_GB2312" w:eastAsia="仿宋_GB2312" w:cs="仿宋_GB2312"/>
          <w:b w:val="0"/>
          <w:bCs w:val="0"/>
          <w:color w:val="000000"/>
          <w:sz w:val="32"/>
          <w:szCs w:val="32"/>
          <w:highlight w:val="none"/>
          <w:lang w:eastAsia="zh-CN"/>
        </w:rPr>
        <w:t>；</w:t>
      </w:r>
    </w:p>
    <w:p w14:paraId="629C2FA8">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rPr>
        <w:t>17.罚没收入</w:t>
      </w:r>
      <w:r>
        <w:rPr>
          <w:rFonts w:hint="eastAsia" w:ascii="仿宋_GB2312" w:hAnsi="仿宋_GB2312" w:eastAsia="仿宋_GB2312" w:cs="仿宋_GB2312"/>
          <w:b w:val="0"/>
          <w:bCs w:val="0"/>
          <w:color w:val="000000"/>
          <w:sz w:val="32"/>
          <w:szCs w:val="32"/>
          <w:highlight w:val="none"/>
          <w:lang w:val="en-US" w:eastAsia="zh-CN"/>
        </w:rPr>
        <w:t>4600</w:t>
      </w:r>
      <w:r>
        <w:rPr>
          <w:rFonts w:hint="eastAsia" w:ascii="仿宋_GB2312" w:hAnsi="仿宋_GB2312" w:eastAsia="仿宋_GB2312" w:cs="仿宋_GB2312"/>
          <w:b w:val="0"/>
          <w:bCs w:val="0"/>
          <w:color w:val="000000"/>
          <w:sz w:val="32"/>
          <w:szCs w:val="32"/>
          <w:highlight w:val="none"/>
        </w:rPr>
        <w:t>万元</w:t>
      </w:r>
      <w:r>
        <w:rPr>
          <w:rFonts w:hint="eastAsia" w:ascii="仿宋_GB2312" w:hAnsi="仿宋_GB2312" w:eastAsia="仿宋_GB2312" w:cs="仿宋_GB2312"/>
          <w:b w:val="0"/>
          <w:bCs w:val="0"/>
          <w:color w:val="000000"/>
          <w:sz w:val="32"/>
          <w:szCs w:val="32"/>
          <w:highlight w:val="none"/>
          <w:lang w:eastAsia="zh-CN"/>
        </w:rPr>
        <w:t>；</w:t>
      </w:r>
    </w:p>
    <w:p w14:paraId="41B7FE66">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rPr>
        <w:t>18.国有资源（资产）有偿使用收入</w:t>
      </w:r>
      <w:r>
        <w:rPr>
          <w:rFonts w:hint="eastAsia" w:ascii="仿宋_GB2312" w:hAnsi="仿宋_GB2312" w:eastAsia="仿宋_GB2312" w:cs="仿宋_GB2312"/>
          <w:b w:val="0"/>
          <w:bCs w:val="0"/>
          <w:color w:val="000000"/>
          <w:sz w:val="32"/>
          <w:szCs w:val="32"/>
          <w:highlight w:val="none"/>
          <w:lang w:val="en-US" w:eastAsia="zh-CN"/>
        </w:rPr>
        <w:t>30000</w:t>
      </w:r>
      <w:r>
        <w:rPr>
          <w:rFonts w:hint="eastAsia" w:ascii="仿宋_GB2312" w:hAnsi="仿宋_GB2312" w:eastAsia="仿宋_GB2312" w:cs="仿宋_GB2312"/>
          <w:b w:val="0"/>
          <w:bCs w:val="0"/>
          <w:color w:val="000000"/>
          <w:sz w:val="32"/>
          <w:szCs w:val="32"/>
          <w:highlight w:val="none"/>
        </w:rPr>
        <w:t>万元</w:t>
      </w:r>
      <w:r>
        <w:rPr>
          <w:rFonts w:hint="eastAsia" w:ascii="仿宋_GB2312" w:hAnsi="仿宋_GB2312" w:eastAsia="仿宋_GB2312" w:cs="仿宋_GB2312"/>
          <w:b w:val="0"/>
          <w:bCs w:val="0"/>
          <w:color w:val="000000"/>
          <w:sz w:val="32"/>
          <w:szCs w:val="32"/>
          <w:highlight w:val="none"/>
          <w:lang w:eastAsia="zh-CN"/>
        </w:rPr>
        <w:t>；</w:t>
      </w:r>
    </w:p>
    <w:p w14:paraId="6A2C3054">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rPr>
        <w:t>19.政府住房基金收入</w:t>
      </w:r>
      <w:r>
        <w:rPr>
          <w:rFonts w:hint="eastAsia" w:ascii="仿宋_GB2312" w:hAnsi="仿宋_GB2312" w:eastAsia="仿宋_GB2312" w:cs="仿宋_GB2312"/>
          <w:b w:val="0"/>
          <w:bCs w:val="0"/>
          <w:color w:val="000000"/>
          <w:sz w:val="32"/>
          <w:szCs w:val="32"/>
          <w:highlight w:val="none"/>
          <w:lang w:val="en-US" w:eastAsia="zh-CN"/>
        </w:rPr>
        <w:t>100</w:t>
      </w:r>
      <w:r>
        <w:rPr>
          <w:rFonts w:hint="eastAsia" w:ascii="仿宋_GB2312" w:hAnsi="仿宋_GB2312" w:eastAsia="仿宋_GB2312" w:cs="仿宋_GB2312"/>
          <w:b w:val="0"/>
          <w:bCs w:val="0"/>
          <w:color w:val="000000"/>
          <w:sz w:val="32"/>
          <w:szCs w:val="32"/>
          <w:highlight w:val="none"/>
        </w:rPr>
        <w:t>万元</w:t>
      </w:r>
      <w:r>
        <w:rPr>
          <w:rFonts w:hint="eastAsia" w:ascii="仿宋_GB2312" w:hAnsi="仿宋_GB2312" w:eastAsia="仿宋_GB2312" w:cs="仿宋_GB2312"/>
          <w:b w:val="0"/>
          <w:bCs w:val="0"/>
          <w:color w:val="000000"/>
          <w:sz w:val="32"/>
          <w:szCs w:val="32"/>
          <w:highlight w:val="none"/>
          <w:lang w:eastAsia="zh-CN"/>
        </w:rPr>
        <w:t>；</w:t>
      </w:r>
    </w:p>
    <w:p w14:paraId="38D7DC77">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rPr>
        <w:t>2</w:t>
      </w:r>
      <w:r>
        <w:rPr>
          <w:rFonts w:hint="eastAsia" w:ascii="仿宋_GB2312" w:hAnsi="仿宋_GB2312" w:eastAsia="仿宋_GB2312" w:cs="仿宋_GB2312"/>
          <w:b w:val="0"/>
          <w:bCs w:val="0"/>
          <w:color w:val="000000"/>
          <w:sz w:val="32"/>
          <w:szCs w:val="32"/>
          <w:highlight w:val="none"/>
          <w:lang w:val="en-US" w:eastAsia="zh-CN"/>
        </w:rPr>
        <w:t>0</w:t>
      </w:r>
      <w:r>
        <w:rPr>
          <w:rFonts w:hint="eastAsia" w:ascii="仿宋_GB2312" w:hAnsi="仿宋_GB2312" w:eastAsia="仿宋_GB2312" w:cs="仿宋_GB2312"/>
          <w:b w:val="0"/>
          <w:bCs w:val="0"/>
          <w:color w:val="000000"/>
          <w:sz w:val="32"/>
          <w:szCs w:val="32"/>
          <w:highlight w:val="none"/>
        </w:rPr>
        <w:t>.其他收入</w:t>
      </w:r>
      <w:r>
        <w:rPr>
          <w:rFonts w:hint="eastAsia" w:ascii="仿宋_GB2312" w:hAnsi="仿宋_GB2312" w:eastAsia="仿宋_GB2312" w:cs="仿宋_GB2312"/>
          <w:b w:val="0"/>
          <w:bCs w:val="0"/>
          <w:color w:val="000000"/>
          <w:sz w:val="32"/>
          <w:szCs w:val="32"/>
          <w:highlight w:val="none"/>
          <w:lang w:val="en-US" w:eastAsia="zh-CN"/>
        </w:rPr>
        <w:t>7800</w:t>
      </w:r>
      <w:r>
        <w:rPr>
          <w:rFonts w:hint="eastAsia" w:ascii="仿宋_GB2312" w:hAnsi="仿宋_GB2312" w:eastAsia="仿宋_GB2312" w:cs="仿宋_GB2312"/>
          <w:b w:val="0"/>
          <w:bCs w:val="0"/>
          <w:color w:val="000000"/>
          <w:sz w:val="32"/>
          <w:szCs w:val="32"/>
          <w:highlight w:val="none"/>
        </w:rPr>
        <w:t>万元</w:t>
      </w:r>
      <w:r>
        <w:rPr>
          <w:rFonts w:hint="eastAsia" w:ascii="仿宋_GB2312" w:hAnsi="仿宋_GB2312" w:eastAsia="仿宋_GB2312" w:cs="仿宋_GB2312"/>
          <w:b w:val="0"/>
          <w:bCs w:val="0"/>
          <w:color w:val="000000"/>
          <w:sz w:val="32"/>
          <w:szCs w:val="32"/>
          <w:highlight w:val="none"/>
          <w:lang w:eastAsia="zh-CN"/>
        </w:rPr>
        <w:t>；</w:t>
      </w:r>
    </w:p>
    <w:p w14:paraId="0947C965">
      <w:pPr>
        <w:spacing w:line="600" w:lineRule="exact"/>
        <w:ind w:firstLine="640" w:firstLineChars="200"/>
        <w:rPr>
          <w:rFonts w:hint="eastAsia" w:ascii="仿宋_GB2312" w:hAnsi="仿宋" w:eastAsia="仿宋_GB2312"/>
          <w:color w:val="000000"/>
          <w:sz w:val="32"/>
          <w:szCs w:val="32"/>
          <w:highlight w:val="none"/>
        </w:rPr>
      </w:pPr>
    </w:p>
    <w:p w14:paraId="69DE286B">
      <w:pPr>
        <w:spacing w:line="600" w:lineRule="exact"/>
        <w:ind w:firstLine="640" w:firstLineChars="200"/>
        <w:rPr>
          <w:rFonts w:hint="eastAsia" w:ascii="仿宋_GB2312" w:hAnsi="仿宋" w:eastAsia="仿宋_GB2312"/>
          <w:color w:val="000000"/>
          <w:sz w:val="32"/>
          <w:szCs w:val="32"/>
        </w:rPr>
      </w:pPr>
    </w:p>
    <w:p w14:paraId="591B6523">
      <w:pPr>
        <w:spacing w:line="600" w:lineRule="exact"/>
        <w:ind w:firstLine="640" w:firstLineChars="200"/>
        <w:rPr>
          <w:rFonts w:hint="eastAsia" w:ascii="仿宋_GB2312" w:hAnsi="仿宋" w:eastAsia="仿宋_GB2312"/>
          <w:color w:val="000000"/>
          <w:sz w:val="32"/>
          <w:szCs w:val="32"/>
        </w:rPr>
      </w:pPr>
    </w:p>
    <w:p w14:paraId="7E233200">
      <w:pPr>
        <w:spacing w:line="600" w:lineRule="exact"/>
        <w:ind w:firstLine="640" w:firstLineChars="200"/>
        <w:rPr>
          <w:rFonts w:hint="eastAsia" w:ascii="仿宋_GB2312" w:hAnsi="仿宋" w:eastAsia="仿宋_GB2312"/>
          <w:color w:val="000000"/>
          <w:sz w:val="32"/>
          <w:szCs w:val="32"/>
        </w:rPr>
      </w:pPr>
    </w:p>
    <w:p w14:paraId="10E5A421">
      <w:pPr>
        <w:keepNext w:val="0"/>
        <w:keepLines w:val="0"/>
        <w:pageBreakBefore w:val="0"/>
        <w:widowControl w:val="0"/>
        <w:kinsoku/>
        <w:wordWrap/>
        <w:overflowPunct/>
        <w:topLinePunct w:val="0"/>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rPr>
        <w:sectPr>
          <w:pgSz w:w="11906" w:h="16838"/>
          <w:pgMar w:top="2098" w:right="1474" w:bottom="1928" w:left="1531" w:header="851" w:footer="1417" w:gutter="0"/>
          <w:pgBorders>
            <w:top w:val="none" w:sz="0" w:space="0"/>
            <w:left w:val="none" w:sz="0" w:space="0"/>
            <w:bottom w:val="none" w:sz="0" w:space="0"/>
            <w:right w:val="none" w:sz="0" w:space="0"/>
          </w:pgBorders>
          <w:pgNumType w:fmt="numberInDash"/>
          <w:cols w:space="0" w:num="1"/>
          <w:rtlGutter w:val="0"/>
          <w:docGrid w:type="lines" w:linePitch="312" w:charSpace="0"/>
        </w:sectPr>
      </w:pPr>
    </w:p>
    <w:tbl>
      <w:tblPr>
        <w:tblStyle w:val="20"/>
        <w:tblW w:w="85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827"/>
        <w:gridCol w:w="2366"/>
        <w:gridCol w:w="2367"/>
      </w:tblGrid>
      <w:tr w14:paraId="71DCE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1" w:hRule="atLeast"/>
        </w:trPr>
        <w:tc>
          <w:tcPr>
            <w:tcW w:w="3827" w:type="dxa"/>
            <w:tcBorders>
              <w:top w:val="nil"/>
              <w:left w:val="nil"/>
              <w:bottom w:val="nil"/>
              <w:right w:val="nil"/>
            </w:tcBorders>
            <w:shd w:val="clear" w:color="auto" w:fill="auto"/>
            <w:tcMar>
              <w:top w:w="15" w:type="dxa"/>
              <w:left w:w="15" w:type="dxa"/>
              <w:right w:w="15" w:type="dxa"/>
            </w:tcMar>
            <w:vAlign w:val="center"/>
          </w:tcPr>
          <w:p w14:paraId="3C200DF7">
            <w:pPr>
              <w:keepNext w:val="0"/>
              <w:keepLines w:val="0"/>
              <w:widowControl/>
              <w:suppressLineNumbers w:val="0"/>
              <w:jc w:val="left"/>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表九</w:t>
            </w:r>
          </w:p>
        </w:tc>
        <w:tc>
          <w:tcPr>
            <w:tcW w:w="2366" w:type="dxa"/>
            <w:tcBorders>
              <w:top w:val="nil"/>
              <w:left w:val="nil"/>
              <w:bottom w:val="nil"/>
              <w:right w:val="nil"/>
            </w:tcBorders>
            <w:shd w:val="clear" w:color="auto" w:fill="auto"/>
            <w:tcMar>
              <w:top w:w="15" w:type="dxa"/>
              <w:left w:w="15" w:type="dxa"/>
              <w:right w:w="15" w:type="dxa"/>
            </w:tcMar>
            <w:vAlign w:val="center"/>
          </w:tcPr>
          <w:p w14:paraId="00002F2F">
            <w:pPr>
              <w:jc w:val="center"/>
              <w:rPr>
                <w:rFonts w:hint="eastAsia" w:ascii="等线" w:hAnsi="等线" w:eastAsia="等线" w:cs="等线"/>
                <w:i w:val="0"/>
                <w:color w:val="000000"/>
                <w:sz w:val="21"/>
                <w:szCs w:val="21"/>
                <w:u w:val="none"/>
              </w:rPr>
            </w:pPr>
          </w:p>
        </w:tc>
        <w:tc>
          <w:tcPr>
            <w:tcW w:w="2367" w:type="dxa"/>
            <w:tcBorders>
              <w:top w:val="nil"/>
              <w:left w:val="nil"/>
              <w:bottom w:val="nil"/>
              <w:right w:val="nil"/>
            </w:tcBorders>
            <w:shd w:val="clear" w:color="auto" w:fill="auto"/>
            <w:tcMar>
              <w:top w:w="15" w:type="dxa"/>
              <w:left w:w="15" w:type="dxa"/>
              <w:right w:w="15" w:type="dxa"/>
            </w:tcMar>
            <w:vAlign w:val="center"/>
          </w:tcPr>
          <w:p w14:paraId="095A2A3E">
            <w:pPr>
              <w:jc w:val="center"/>
              <w:rPr>
                <w:rFonts w:hint="eastAsia" w:ascii="等线" w:hAnsi="等线" w:eastAsia="等线" w:cs="等线"/>
                <w:i w:val="0"/>
                <w:color w:val="000000"/>
                <w:sz w:val="21"/>
                <w:szCs w:val="21"/>
                <w:u w:val="none"/>
              </w:rPr>
            </w:pPr>
          </w:p>
        </w:tc>
      </w:tr>
      <w:tr w14:paraId="338F1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1" w:hRule="atLeast"/>
        </w:trPr>
        <w:tc>
          <w:tcPr>
            <w:tcW w:w="8560" w:type="dxa"/>
            <w:gridSpan w:val="3"/>
            <w:tcBorders>
              <w:top w:val="nil"/>
              <w:left w:val="nil"/>
              <w:bottom w:val="nil"/>
              <w:right w:val="nil"/>
            </w:tcBorders>
            <w:shd w:val="clear" w:color="auto" w:fill="auto"/>
            <w:tcMar>
              <w:top w:w="15" w:type="dxa"/>
              <w:left w:w="15" w:type="dxa"/>
              <w:right w:w="15" w:type="dxa"/>
            </w:tcMar>
            <w:vAlign w:val="center"/>
          </w:tcPr>
          <w:p w14:paraId="57B8AAF5">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2026年一般公共预算支出预算表</w:t>
            </w:r>
          </w:p>
        </w:tc>
      </w:tr>
      <w:tr w14:paraId="2DA57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3" w:hRule="atLeast"/>
        </w:trPr>
        <w:tc>
          <w:tcPr>
            <w:tcW w:w="8560" w:type="dxa"/>
            <w:gridSpan w:val="3"/>
            <w:tcBorders>
              <w:top w:val="nil"/>
              <w:left w:val="nil"/>
              <w:bottom w:val="single" w:color="auto" w:sz="4" w:space="0"/>
              <w:right w:val="nil"/>
            </w:tcBorders>
            <w:shd w:val="clear" w:color="auto" w:fill="auto"/>
            <w:tcMar>
              <w:top w:w="15" w:type="dxa"/>
              <w:left w:w="15" w:type="dxa"/>
              <w:right w:w="15" w:type="dxa"/>
            </w:tcMar>
            <w:vAlign w:val="center"/>
          </w:tcPr>
          <w:p w14:paraId="423FF4E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单位：万元</w:t>
            </w:r>
          </w:p>
        </w:tc>
      </w:tr>
      <w:tr w14:paraId="1CB0B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3" w:hRule="atLeast"/>
        </w:trPr>
        <w:tc>
          <w:tcPr>
            <w:tcW w:w="3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87345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23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07752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2025年执行数</w:t>
            </w:r>
          </w:p>
        </w:tc>
        <w:tc>
          <w:tcPr>
            <w:tcW w:w="23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E7E49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2026年预算数</w:t>
            </w:r>
          </w:p>
        </w:tc>
      </w:tr>
      <w:tr w14:paraId="60CC1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2B6FE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一般公共服务支出</w:t>
            </w:r>
          </w:p>
        </w:tc>
        <w:tc>
          <w:tcPr>
            <w:tcW w:w="23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1AE2D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54899</w:t>
            </w:r>
          </w:p>
        </w:tc>
        <w:tc>
          <w:tcPr>
            <w:tcW w:w="23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353A7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43950</w:t>
            </w:r>
          </w:p>
        </w:tc>
      </w:tr>
      <w:tr w14:paraId="2ED8B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7097D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国防支出</w:t>
            </w:r>
          </w:p>
        </w:tc>
        <w:tc>
          <w:tcPr>
            <w:tcW w:w="23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82E66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102</w:t>
            </w:r>
          </w:p>
        </w:tc>
        <w:tc>
          <w:tcPr>
            <w:tcW w:w="23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AE29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w:t>
            </w:r>
          </w:p>
        </w:tc>
      </w:tr>
      <w:tr w14:paraId="375FB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A3FAB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公共安全支出</w:t>
            </w:r>
          </w:p>
        </w:tc>
        <w:tc>
          <w:tcPr>
            <w:tcW w:w="23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F8AC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14813</w:t>
            </w:r>
          </w:p>
        </w:tc>
        <w:tc>
          <w:tcPr>
            <w:tcW w:w="23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51E44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14412</w:t>
            </w:r>
          </w:p>
        </w:tc>
      </w:tr>
      <w:tr w14:paraId="740FF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7553C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教育支出</w:t>
            </w:r>
          </w:p>
        </w:tc>
        <w:tc>
          <w:tcPr>
            <w:tcW w:w="23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0EBE5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94673</w:t>
            </w:r>
          </w:p>
        </w:tc>
        <w:tc>
          <w:tcPr>
            <w:tcW w:w="23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1AFF6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102155</w:t>
            </w:r>
          </w:p>
        </w:tc>
      </w:tr>
      <w:tr w14:paraId="46905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3" w:hRule="atLeast"/>
        </w:trPr>
        <w:tc>
          <w:tcPr>
            <w:tcW w:w="3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6B7F0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科学技术支出</w:t>
            </w:r>
          </w:p>
        </w:tc>
        <w:tc>
          <w:tcPr>
            <w:tcW w:w="23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273F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21183</w:t>
            </w:r>
          </w:p>
        </w:tc>
        <w:tc>
          <w:tcPr>
            <w:tcW w:w="23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BBBFE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5811</w:t>
            </w:r>
          </w:p>
        </w:tc>
      </w:tr>
      <w:tr w14:paraId="507F9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3" w:hRule="atLeast"/>
        </w:trPr>
        <w:tc>
          <w:tcPr>
            <w:tcW w:w="3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8E664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文化旅游体育与传媒支出</w:t>
            </w:r>
          </w:p>
        </w:tc>
        <w:tc>
          <w:tcPr>
            <w:tcW w:w="23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6D04A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4390</w:t>
            </w:r>
          </w:p>
        </w:tc>
        <w:tc>
          <w:tcPr>
            <w:tcW w:w="23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E7D5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4600</w:t>
            </w:r>
          </w:p>
        </w:tc>
      </w:tr>
      <w:tr w14:paraId="187FE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60F91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社会保障和就业支出</w:t>
            </w:r>
          </w:p>
        </w:tc>
        <w:tc>
          <w:tcPr>
            <w:tcW w:w="23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B8E2E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67396</w:t>
            </w:r>
          </w:p>
        </w:tc>
        <w:tc>
          <w:tcPr>
            <w:tcW w:w="23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7092C4">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48793</w:t>
            </w:r>
          </w:p>
        </w:tc>
      </w:tr>
      <w:tr w14:paraId="5BEC0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3" w:hRule="atLeast"/>
        </w:trPr>
        <w:tc>
          <w:tcPr>
            <w:tcW w:w="3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60372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卫生健康支出</w:t>
            </w:r>
          </w:p>
        </w:tc>
        <w:tc>
          <w:tcPr>
            <w:tcW w:w="23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A858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33717</w:t>
            </w:r>
          </w:p>
        </w:tc>
        <w:tc>
          <w:tcPr>
            <w:tcW w:w="23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1BAE4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38854</w:t>
            </w:r>
          </w:p>
        </w:tc>
      </w:tr>
      <w:tr w14:paraId="0356A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3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3DC3F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节能环保支出</w:t>
            </w:r>
          </w:p>
        </w:tc>
        <w:tc>
          <w:tcPr>
            <w:tcW w:w="23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9372A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8975</w:t>
            </w:r>
          </w:p>
        </w:tc>
        <w:tc>
          <w:tcPr>
            <w:tcW w:w="23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2E450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1433</w:t>
            </w:r>
          </w:p>
        </w:tc>
      </w:tr>
      <w:tr w14:paraId="7731F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3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E7893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城乡社区支出</w:t>
            </w:r>
          </w:p>
        </w:tc>
        <w:tc>
          <w:tcPr>
            <w:tcW w:w="23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2EA30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48038</w:t>
            </w:r>
          </w:p>
        </w:tc>
        <w:tc>
          <w:tcPr>
            <w:tcW w:w="23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45456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13004</w:t>
            </w:r>
          </w:p>
        </w:tc>
      </w:tr>
      <w:tr w14:paraId="59562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4" w:hRule="atLeast"/>
        </w:trPr>
        <w:tc>
          <w:tcPr>
            <w:tcW w:w="3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68648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农林水支出</w:t>
            </w:r>
          </w:p>
        </w:tc>
        <w:tc>
          <w:tcPr>
            <w:tcW w:w="23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F564A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69802</w:t>
            </w:r>
          </w:p>
        </w:tc>
        <w:tc>
          <w:tcPr>
            <w:tcW w:w="23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4E657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53252</w:t>
            </w:r>
          </w:p>
        </w:tc>
      </w:tr>
      <w:tr w14:paraId="535B4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4" w:hRule="atLeast"/>
        </w:trPr>
        <w:tc>
          <w:tcPr>
            <w:tcW w:w="3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69518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交通运输支出</w:t>
            </w:r>
          </w:p>
        </w:tc>
        <w:tc>
          <w:tcPr>
            <w:tcW w:w="23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AB1EE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9828</w:t>
            </w:r>
          </w:p>
        </w:tc>
        <w:tc>
          <w:tcPr>
            <w:tcW w:w="23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058A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7147</w:t>
            </w:r>
          </w:p>
        </w:tc>
      </w:tr>
      <w:tr w14:paraId="48717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3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1BD3F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资源勘探工业信息等支出</w:t>
            </w:r>
          </w:p>
        </w:tc>
        <w:tc>
          <w:tcPr>
            <w:tcW w:w="23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D80DA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1826</w:t>
            </w:r>
          </w:p>
        </w:tc>
        <w:tc>
          <w:tcPr>
            <w:tcW w:w="23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D4656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502</w:t>
            </w:r>
          </w:p>
        </w:tc>
      </w:tr>
      <w:tr w14:paraId="1BD34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3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A361D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商业服务业等支出</w:t>
            </w:r>
          </w:p>
        </w:tc>
        <w:tc>
          <w:tcPr>
            <w:tcW w:w="23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DC2F8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279</w:t>
            </w:r>
          </w:p>
        </w:tc>
        <w:tc>
          <w:tcPr>
            <w:tcW w:w="23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F245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214</w:t>
            </w:r>
          </w:p>
        </w:tc>
      </w:tr>
      <w:tr w14:paraId="5438E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3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E955D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自然资源海洋气象等支出</w:t>
            </w:r>
          </w:p>
        </w:tc>
        <w:tc>
          <w:tcPr>
            <w:tcW w:w="23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F903A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3389</w:t>
            </w:r>
          </w:p>
        </w:tc>
        <w:tc>
          <w:tcPr>
            <w:tcW w:w="23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3F510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3548</w:t>
            </w:r>
          </w:p>
        </w:tc>
      </w:tr>
      <w:tr w14:paraId="3E67C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4" w:hRule="atLeast"/>
        </w:trPr>
        <w:tc>
          <w:tcPr>
            <w:tcW w:w="3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4B557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住房保障支出</w:t>
            </w:r>
          </w:p>
        </w:tc>
        <w:tc>
          <w:tcPr>
            <w:tcW w:w="23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74A2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14797</w:t>
            </w:r>
          </w:p>
        </w:tc>
        <w:tc>
          <w:tcPr>
            <w:tcW w:w="23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320F9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15707</w:t>
            </w:r>
          </w:p>
        </w:tc>
      </w:tr>
      <w:tr w14:paraId="33989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3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B559F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粮油物资储备支出</w:t>
            </w:r>
          </w:p>
        </w:tc>
        <w:tc>
          <w:tcPr>
            <w:tcW w:w="23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E33EA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778</w:t>
            </w:r>
          </w:p>
        </w:tc>
        <w:tc>
          <w:tcPr>
            <w:tcW w:w="23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FD42F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1031</w:t>
            </w:r>
          </w:p>
        </w:tc>
      </w:tr>
      <w:tr w14:paraId="648FD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4" w:hRule="atLeast"/>
        </w:trPr>
        <w:tc>
          <w:tcPr>
            <w:tcW w:w="3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E7276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灾害防治及应急管理支出</w:t>
            </w:r>
          </w:p>
        </w:tc>
        <w:tc>
          <w:tcPr>
            <w:tcW w:w="23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CD20E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2404</w:t>
            </w:r>
          </w:p>
        </w:tc>
        <w:tc>
          <w:tcPr>
            <w:tcW w:w="23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CBF73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1506</w:t>
            </w:r>
          </w:p>
        </w:tc>
      </w:tr>
      <w:tr w14:paraId="1F354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3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C5082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预备费</w:t>
            </w:r>
          </w:p>
        </w:tc>
        <w:tc>
          <w:tcPr>
            <w:tcW w:w="23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DC1F0B">
            <w:pPr>
              <w:jc w:val="center"/>
              <w:rPr>
                <w:rFonts w:hint="eastAsia" w:ascii="宋体" w:hAnsi="宋体" w:eastAsia="宋体" w:cs="宋体"/>
                <w:i w:val="0"/>
                <w:color w:val="000000"/>
                <w:sz w:val="24"/>
                <w:szCs w:val="24"/>
                <w:u w:val="none"/>
              </w:rPr>
            </w:pPr>
            <w:r>
              <w:rPr>
                <w:rFonts w:ascii="宋体" w:hAnsi="宋体" w:eastAsia="宋体" w:cs="宋体"/>
                <w:sz w:val="24"/>
                <w:szCs w:val="24"/>
              </w:rPr>
              <w:t>—</w:t>
            </w:r>
          </w:p>
        </w:tc>
        <w:tc>
          <w:tcPr>
            <w:tcW w:w="23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B70E4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4000</w:t>
            </w:r>
          </w:p>
        </w:tc>
      </w:tr>
      <w:tr w14:paraId="324B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3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59A3B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其他支出</w:t>
            </w:r>
          </w:p>
        </w:tc>
        <w:tc>
          <w:tcPr>
            <w:tcW w:w="23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684D0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2341</w:t>
            </w:r>
          </w:p>
        </w:tc>
        <w:tc>
          <w:tcPr>
            <w:tcW w:w="23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00FCAB">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6097</w:t>
            </w:r>
          </w:p>
        </w:tc>
      </w:tr>
      <w:tr w14:paraId="09ABE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4" w:hRule="atLeast"/>
        </w:trPr>
        <w:tc>
          <w:tcPr>
            <w:tcW w:w="3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F933E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债务付息支出</w:t>
            </w:r>
          </w:p>
        </w:tc>
        <w:tc>
          <w:tcPr>
            <w:tcW w:w="23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6FCCE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5566</w:t>
            </w:r>
          </w:p>
        </w:tc>
        <w:tc>
          <w:tcPr>
            <w:tcW w:w="23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40922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4915</w:t>
            </w:r>
          </w:p>
        </w:tc>
      </w:tr>
      <w:tr w14:paraId="6424D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3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10AA8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债务发行费用支出</w:t>
            </w:r>
          </w:p>
        </w:tc>
        <w:tc>
          <w:tcPr>
            <w:tcW w:w="23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E52DF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3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72D49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sz w:val="24"/>
                <w:szCs w:val="24"/>
              </w:rPr>
              <w:t>—</w:t>
            </w:r>
          </w:p>
        </w:tc>
      </w:tr>
      <w:tr w14:paraId="389C3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3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CDEE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-----本级支出合计-----</w:t>
            </w:r>
          </w:p>
        </w:tc>
        <w:tc>
          <w:tcPr>
            <w:tcW w:w="23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A0348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459198</w:t>
            </w:r>
          </w:p>
        </w:tc>
        <w:tc>
          <w:tcPr>
            <w:tcW w:w="23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1EB0C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370982</w:t>
            </w:r>
          </w:p>
        </w:tc>
      </w:tr>
      <w:tr w14:paraId="4340B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4" w:hRule="atLeast"/>
        </w:trPr>
        <w:tc>
          <w:tcPr>
            <w:tcW w:w="3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77598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上解支出</w:t>
            </w:r>
          </w:p>
        </w:tc>
        <w:tc>
          <w:tcPr>
            <w:tcW w:w="23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61674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40031</w:t>
            </w:r>
          </w:p>
        </w:tc>
        <w:tc>
          <w:tcPr>
            <w:tcW w:w="23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5DC780">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40600</w:t>
            </w:r>
          </w:p>
        </w:tc>
      </w:tr>
      <w:tr w14:paraId="1CB7A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3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05542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债务还本支出</w:t>
            </w:r>
          </w:p>
        </w:tc>
        <w:tc>
          <w:tcPr>
            <w:tcW w:w="23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55641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31751</w:t>
            </w:r>
          </w:p>
        </w:tc>
        <w:tc>
          <w:tcPr>
            <w:tcW w:w="23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BE71C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2931</w:t>
            </w:r>
          </w:p>
        </w:tc>
      </w:tr>
      <w:tr w14:paraId="5FF28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3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7EB0F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安排预算稳定调节基金</w:t>
            </w:r>
          </w:p>
        </w:tc>
        <w:tc>
          <w:tcPr>
            <w:tcW w:w="23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1EF9B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3585</w:t>
            </w:r>
          </w:p>
        </w:tc>
        <w:tc>
          <w:tcPr>
            <w:tcW w:w="23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F801AC">
            <w:pPr>
              <w:jc w:val="center"/>
              <w:rPr>
                <w:rFonts w:hint="eastAsia" w:ascii="宋体" w:hAnsi="宋体" w:eastAsia="宋体" w:cs="宋体"/>
                <w:i w:val="0"/>
                <w:color w:val="000000"/>
                <w:sz w:val="24"/>
                <w:szCs w:val="24"/>
                <w:u w:val="none"/>
              </w:rPr>
            </w:pPr>
            <w:r>
              <w:rPr>
                <w:rFonts w:ascii="宋体" w:hAnsi="宋体" w:eastAsia="宋体" w:cs="宋体"/>
                <w:sz w:val="24"/>
                <w:szCs w:val="24"/>
              </w:rPr>
              <w:t>—</w:t>
            </w:r>
          </w:p>
        </w:tc>
      </w:tr>
      <w:tr w14:paraId="2A64F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3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280F5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年终结余</w:t>
            </w:r>
          </w:p>
        </w:tc>
        <w:tc>
          <w:tcPr>
            <w:tcW w:w="23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7B288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506</w:t>
            </w:r>
          </w:p>
        </w:tc>
        <w:tc>
          <w:tcPr>
            <w:tcW w:w="23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B6847E">
            <w:pPr>
              <w:jc w:val="center"/>
              <w:rPr>
                <w:rFonts w:hint="eastAsia" w:ascii="宋体" w:hAnsi="宋体" w:eastAsia="宋体" w:cs="宋体"/>
                <w:i w:val="0"/>
                <w:color w:val="000000"/>
                <w:sz w:val="24"/>
                <w:szCs w:val="24"/>
                <w:u w:val="none"/>
              </w:rPr>
            </w:pPr>
            <w:r>
              <w:rPr>
                <w:rFonts w:ascii="宋体" w:hAnsi="宋体" w:eastAsia="宋体" w:cs="宋体"/>
                <w:sz w:val="24"/>
                <w:szCs w:val="24"/>
              </w:rPr>
              <w:t>—</w:t>
            </w:r>
          </w:p>
        </w:tc>
      </w:tr>
      <w:tr w14:paraId="4C67A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5" w:hRule="atLeast"/>
        </w:trPr>
        <w:tc>
          <w:tcPr>
            <w:tcW w:w="3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F599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总支出</w:t>
            </w:r>
          </w:p>
        </w:tc>
        <w:tc>
          <w:tcPr>
            <w:tcW w:w="23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D54D6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535071</w:t>
            </w:r>
          </w:p>
        </w:tc>
        <w:tc>
          <w:tcPr>
            <w:tcW w:w="23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F0EC3E">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414513</w:t>
            </w:r>
          </w:p>
        </w:tc>
      </w:tr>
    </w:tbl>
    <w:p w14:paraId="49C97273">
      <w:pPr>
        <w:keepNext w:val="0"/>
        <w:keepLines w:val="0"/>
        <w:pageBreakBefore w:val="0"/>
        <w:widowControl w:val="0"/>
        <w:kinsoku/>
        <w:wordWrap/>
        <w:overflowPunct/>
        <w:topLinePunct w:val="0"/>
        <w:bidi w:val="0"/>
        <w:adjustRightInd/>
        <w:snapToGrid/>
        <w:spacing w:line="572" w:lineRule="exact"/>
        <w:jc w:val="both"/>
        <w:textAlignment w:val="auto"/>
        <w:outlineLvl w:val="9"/>
        <w:rPr>
          <w:rFonts w:hint="eastAsia" w:ascii="仿宋_GB2312" w:hAnsi="仿宋_GB2312" w:eastAsia="仿宋_GB2312" w:cs="仿宋_GB2312"/>
          <w:color w:val="auto"/>
          <w:sz w:val="32"/>
          <w:szCs w:val="32"/>
        </w:rPr>
        <w:sectPr>
          <w:pgSz w:w="11906" w:h="16838"/>
          <w:pgMar w:top="1757" w:right="1474" w:bottom="1701" w:left="1587" w:header="851" w:footer="1134" w:gutter="0"/>
          <w:pgBorders>
            <w:top w:val="none" w:sz="0" w:space="0"/>
            <w:left w:val="none" w:sz="0" w:space="0"/>
            <w:bottom w:val="none" w:sz="0" w:space="0"/>
            <w:right w:val="none" w:sz="0" w:space="0"/>
          </w:pgBorders>
          <w:pgNumType w:fmt="numberInDash"/>
          <w:cols w:space="0" w:num="1"/>
          <w:rtlGutter w:val="0"/>
          <w:docGrid w:type="lines" w:linePitch="312" w:charSpace="0"/>
        </w:sectPr>
      </w:pPr>
    </w:p>
    <w:p w14:paraId="08DC4FAD">
      <w:pPr>
        <w:pStyle w:val="48"/>
        <w:keepNext w:val="0"/>
        <w:keepLines w:val="0"/>
        <w:pageBreakBefore w:val="0"/>
        <w:widowControl w:val="0"/>
        <w:kinsoku/>
        <w:wordWrap/>
        <w:overflowPunct/>
        <w:topLinePunct w:val="0"/>
        <w:autoSpaceDE/>
        <w:autoSpaceDN/>
        <w:bidi w:val="0"/>
        <w:adjustRightInd/>
        <w:snapToGrid/>
        <w:spacing w:before="0" w:after="0" w:line="572" w:lineRule="exact"/>
        <w:jc w:val="center"/>
        <w:textAlignment w:val="auto"/>
        <w:outlineLvl w:val="9"/>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关于202</w:t>
      </w:r>
      <w:r>
        <w:rPr>
          <w:rFonts w:hint="eastAsia" w:hAnsi="方正小标宋简体" w:cs="方正小标宋简体"/>
          <w:color w:val="auto"/>
          <w:sz w:val="44"/>
          <w:szCs w:val="44"/>
          <w:highlight w:val="none"/>
          <w:lang w:val="en-US" w:eastAsia="zh-CN"/>
        </w:rPr>
        <w:t>6</w:t>
      </w:r>
      <w:r>
        <w:rPr>
          <w:rFonts w:hint="eastAsia" w:ascii="方正小标宋简体" w:hAnsi="方正小标宋简体" w:eastAsia="方正小标宋简体" w:cs="方正小标宋简体"/>
          <w:color w:val="auto"/>
          <w:sz w:val="44"/>
          <w:szCs w:val="44"/>
          <w:highlight w:val="none"/>
        </w:rPr>
        <w:t>年一般公共预算支出预算</w:t>
      </w:r>
    </w:p>
    <w:p w14:paraId="20D9982B">
      <w:pPr>
        <w:pStyle w:val="48"/>
        <w:keepNext w:val="0"/>
        <w:keepLines w:val="0"/>
        <w:pageBreakBefore w:val="0"/>
        <w:widowControl w:val="0"/>
        <w:kinsoku/>
        <w:wordWrap/>
        <w:overflowPunct/>
        <w:topLinePunct w:val="0"/>
        <w:autoSpaceDE/>
        <w:autoSpaceDN/>
        <w:bidi w:val="0"/>
        <w:adjustRightInd/>
        <w:snapToGrid/>
        <w:spacing w:before="0" w:after="0" w:line="572" w:lineRule="exact"/>
        <w:jc w:val="center"/>
        <w:textAlignment w:val="auto"/>
        <w:outlineLvl w:val="9"/>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情况的说明</w:t>
      </w:r>
    </w:p>
    <w:p w14:paraId="7358AE8A">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rPr>
      </w:pPr>
    </w:p>
    <w:p w14:paraId="22DDCF32">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年一般公共预算支出总计</w:t>
      </w:r>
      <w:r>
        <w:rPr>
          <w:rFonts w:hint="eastAsia" w:ascii="仿宋_GB2312" w:hAnsi="仿宋_GB2312" w:eastAsia="仿宋_GB2312" w:cs="仿宋_GB2312"/>
          <w:color w:val="auto"/>
          <w:sz w:val="32"/>
          <w:szCs w:val="32"/>
          <w:highlight w:val="none"/>
          <w:lang w:val="en-US" w:eastAsia="zh-CN"/>
        </w:rPr>
        <w:t>414513</w:t>
      </w:r>
      <w:r>
        <w:rPr>
          <w:rFonts w:hint="eastAsia" w:ascii="仿宋_GB2312" w:hAnsi="仿宋_GB2312" w:eastAsia="仿宋_GB2312" w:cs="仿宋_GB2312"/>
          <w:color w:val="auto"/>
          <w:sz w:val="32"/>
          <w:szCs w:val="32"/>
          <w:highlight w:val="none"/>
        </w:rPr>
        <w:t>万元，其中：县本级支出</w:t>
      </w:r>
      <w:r>
        <w:rPr>
          <w:rFonts w:hint="eastAsia" w:ascii="仿宋_GB2312" w:hAnsi="仿宋_GB2312" w:eastAsia="仿宋_GB2312" w:cs="仿宋_GB2312"/>
          <w:color w:val="auto"/>
          <w:sz w:val="32"/>
          <w:szCs w:val="32"/>
          <w:highlight w:val="none"/>
          <w:lang w:val="en-US" w:eastAsia="zh-CN"/>
        </w:rPr>
        <w:t>370982</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上解</w:t>
      </w:r>
      <w:r>
        <w:rPr>
          <w:rFonts w:hint="eastAsia" w:ascii="仿宋_GB2312" w:hAnsi="仿宋_GB2312" w:eastAsia="仿宋_GB2312" w:cs="仿宋_GB2312"/>
          <w:color w:val="auto"/>
          <w:sz w:val="32"/>
          <w:szCs w:val="32"/>
          <w:highlight w:val="none"/>
        </w:rPr>
        <w:t>支出</w:t>
      </w:r>
      <w:r>
        <w:rPr>
          <w:rFonts w:hint="eastAsia" w:ascii="仿宋_GB2312" w:hAnsi="仿宋_GB2312" w:eastAsia="仿宋_GB2312" w:cs="仿宋_GB2312"/>
          <w:color w:val="auto"/>
          <w:sz w:val="32"/>
          <w:szCs w:val="32"/>
          <w:highlight w:val="none"/>
          <w:lang w:val="en-US" w:eastAsia="zh-CN"/>
        </w:rPr>
        <w:t>40600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地方政府一般债务还本支出</w:t>
      </w:r>
      <w:r>
        <w:rPr>
          <w:rFonts w:hint="eastAsia" w:ascii="仿宋_GB2312" w:hAnsi="仿宋_GB2312" w:eastAsia="仿宋_GB2312" w:cs="仿宋_GB2312"/>
          <w:color w:val="auto"/>
          <w:sz w:val="32"/>
          <w:szCs w:val="32"/>
          <w:highlight w:val="none"/>
          <w:lang w:val="en-US" w:eastAsia="zh-CN"/>
        </w:rPr>
        <w:t>2931</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p>
    <w:p w14:paraId="52BB6731">
      <w:pPr>
        <w:keepNext w:val="0"/>
        <w:keepLines w:val="0"/>
        <w:pageBreakBefore w:val="0"/>
        <w:widowControl w:val="0"/>
        <w:kinsoku/>
        <w:wordWrap/>
        <w:overflowPunct/>
        <w:topLinePunct w:val="0"/>
        <w:autoSpaceDE/>
        <w:autoSpaceDN/>
        <w:bidi w:val="0"/>
        <w:adjustRightInd/>
        <w:snapToGrid/>
        <w:spacing w:line="572" w:lineRule="exact"/>
        <w:ind w:firstLine="616"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pacing w:val="-6"/>
          <w:sz w:val="32"/>
          <w:szCs w:val="32"/>
          <w:highlight w:val="none"/>
          <w:lang w:val="en-US" w:eastAsia="zh-CN"/>
        </w:rPr>
        <w:t>县本级一般公共预算支出</w:t>
      </w:r>
      <w:r>
        <w:rPr>
          <w:rFonts w:hint="eastAsia" w:ascii="仿宋_GB2312" w:hAnsi="仿宋_GB2312" w:eastAsia="仿宋_GB2312" w:cs="仿宋_GB2312"/>
          <w:color w:val="auto"/>
          <w:sz w:val="32"/>
          <w:szCs w:val="32"/>
          <w:highlight w:val="none"/>
          <w:lang w:val="en-US" w:eastAsia="zh-CN"/>
        </w:rPr>
        <w:t>370982</w:t>
      </w:r>
      <w:r>
        <w:rPr>
          <w:rFonts w:hint="eastAsia" w:ascii="仿宋_GB2312" w:hAnsi="仿宋_GB2312" w:eastAsia="仿宋_GB2312" w:cs="仿宋_GB2312"/>
          <w:color w:val="auto"/>
          <w:spacing w:val="-6"/>
          <w:sz w:val="32"/>
          <w:szCs w:val="32"/>
          <w:highlight w:val="none"/>
          <w:lang w:val="en-US" w:eastAsia="zh-CN"/>
        </w:rPr>
        <w:t>万元，主要支出项目情况是：</w:t>
      </w:r>
      <w:r>
        <w:rPr>
          <w:rFonts w:hint="eastAsia" w:ascii="仿宋_GB2312" w:hAnsi="仿宋_GB2312" w:eastAsia="仿宋_GB2312" w:cs="仿宋_GB2312"/>
          <w:color w:val="auto"/>
          <w:sz w:val="32"/>
          <w:szCs w:val="32"/>
          <w:highlight w:val="none"/>
          <w:lang w:val="en-US" w:eastAsia="zh-CN"/>
        </w:rPr>
        <w:t xml:space="preserve"> </w:t>
      </w:r>
    </w:p>
    <w:p w14:paraId="1A5A5A00">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1.一般公共服务支出43950万元；</w:t>
      </w:r>
    </w:p>
    <w:p w14:paraId="35A94D8A">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2.国防支出51万元；</w:t>
      </w:r>
    </w:p>
    <w:p w14:paraId="3E010C08">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3.公共安全支出14412万元；</w:t>
      </w:r>
    </w:p>
    <w:p w14:paraId="05DA49E2">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4.教育支出102155万元；</w:t>
      </w:r>
    </w:p>
    <w:p w14:paraId="1F6C6F49">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5.科学技术支出5811万元；</w:t>
      </w:r>
    </w:p>
    <w:p w14:paraId="2E4CF1E0">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6.文化旅游体育与传媒支出4600万元；</w:t>
      </w:r>
    </w:p>
    <w:p w14:paraId="61948B34">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7.社会保障和就业支出48793万元；</w:t>
      </w:r>
    </w:p>
    <w:p w14:paraId="65B67EC8">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8.卫生健康支出38854万元；</w:t>
      </w:r>
    </w:p>
    <w:p w14:paraId="72D93E35">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9.节能环保支出1433万元；</w:t>
      </w:r>
    </w:p>
    <w:p w14:paraId="57A60735">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10.城乡社区支出13004万元；</w:t>
      </w:r>
    </w:p>
    <w:p w14:paraId="77EECF5F">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11.农林水支出53252万元；</w:t>
      </w:r>
    </w:p>
    <w:p w14:paraId="2A7DA57B">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12.交通运输支出7147万元；</w:t>
      </w:r>
    </w:p>
    <w:p w14:paraId="01C0053E">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13.资源勘探工业信息等支出502万元；</w:t>
      </w:r>
    </w:p>
    <w:p w14:paraId="481A2EDD">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14.商业服务业等支出214万元；</w:t>
      </w:r>
    </w:p>
    <w:p w14:paraId="6094EDAF">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15.自然资源海洋气象等支出3548万元；</w:t>
      </w:r>
    </w:p>
    <w:p w14:paraId="55449E43">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16.住房保障支出15707万元；</w:t>
      </w:r>
    </w:p>
    <w:p w14:paraId="0BD16694">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17.粮油物资储备支出1031万元；</w:t>
      </w:r>
    </w:p>
    <w:p w14:paraId="56BE5A54">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18.灾害防治及应急管理支出1506万元；</w:t>
      </w:r>
    </w:p>
    <w:p w14:paraId="4FBC1E53">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19.预备费4000万元；</w:t>
      </w:r>
    </w:p>
    <w:p w14:paraId="1D3A9471">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20.其他支出6097万元；</w:t>
      </w:r>
    </w:p>
    <w:p w14:paraId="604EBB5A">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21.债务付息支出4915万元。</w:t>
      </w:r>
    </w:p>
    <w:p w14:paraId="19D195B7">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p>
    <w:p w14:paraId="38E65ACA">
      <w:pPr>
        <w:tabs>
          <w:tab w:val="right" w:pos="8730"/>
        </w:tabs>
        <w:spacing w:line="600" w:lineRule="exact"/>
        <w:ind w:firstLine="640" w:firstLineChars="200"/>
        <w:rPr>
          <w:rFonts w:hint="eastAsia" w:ascii="仿宋" w:hAnsi="仿宋" w:eastAsia="仿宋"/>
          <w:color w:val="000000"/>
          <w:sz w:val="32"/>
          <w:szCs w:val="32"/>
        </w:rPr>
      </w:pPr>
    </w:p>
    <w:p w14:paraId="5AC1CA46">
      <w:pPr>
        <w:keepNext w:val="0"/>
        <w:keepLines w:val="0"/>
        <w:pageBreakBefore w:val="0"/>
        <w:widowControl w:val="0"/>
        <w:kinsoku/>
        <w:wordWrap/>
        <w:overflowPunct/>
        <w:topLinePunct w:val="0"/>
        <w:bidi w:val="0"/>
        <w:adjustRightInd/>
        <w:snapToGrid/>
        <w:spacing w:line="572" w:lineRule="exact"/>
        <w:jc w:val="both"/>
        <w:textAlignment w:val="auto"/>
        <w:outlineLvl w:val="9"/>
        <w:rPr>
          <w:rFonts w:hint="eastAsia" w:ascii="仿宋_GB2312" w:hAnsi="仿宋_GB2312" w:eastAsia="仿宋_GB2312" w:cs="仿宋_GB2312"/>
          <w:color w:val="auto"/>
          <w:sz w:val="32"/>
          <w:szCs w:val="32"/>
        </w:rPr>
        <w:sectPr>
          <w:pgSz w:w="11906" w:h="16838"/>
          <w:pgMar w:top="2098" w:right="1474" w:bottom="1928" w:left="1531" w:header="851" w:footer="1417" w:gutter="0"/>
          <w:pgBorders>
            <w:top w:val="none" w:sz="0" w:space="0"/>
            <w:left w:val="none" w:sz="0" w:space="0"/>
            <w:bottom w:val="none" w:sz="0" w:space="0"/>
            <w:right w:val="none" w:sz="0" w:space="0"/>
          </w:pgBorders>
          <w:pgNumType w:fmt="numberInDash"/>
          <w:cols w:space="0" w:num="1"/>
          <w:rtlGutter w:val="0"/>
          <w:docGrid w:type="lines" w:linePitch="312" w:charSpace="0"/>
        </w:sectPr>
      </w:pPr>
    </w:p>
    <w:tbl>
      <w:tblPr>
        <w:tblStyle w:val="20"/>
        <w:tblW w:w="9887" w:type="dxa"/>
        <w:tblInd w:w="-36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87"/>
      </w:tblGrid>
      <w:tr w14:paraId="29BC9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6" w:hRule="atLeast"/>
        </w:trPr>
        <w:tc>
          <w:tcPr>
            <w:tcW w:w="9887" w:type="dxa"/>
            <w:tcBorders>
              <w:top w:val="nil"/>
              <w:left w:val="nil"/>
              <w:bottom w:val="nil"/>
              <w:right w:val="nil"/>
            </w:tcBorders>
            <w:shd w:val="clear" w:color="auto" w:fill="auto"/>
            <w:noWrap/>
            <w:vAlign w:val="center"/>
          </w:tcPr>
          <w:tbl>
            <w:tblPr>
              <w:tblStyle w:val="20"/>
              <w:tblW w:w="89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
              <w:gridCol w:w="2857"/>
              <w:gridCol w:w="11"/>
              <w:gridCol w:w="2061"/>
              <w:gridCol w:w="2266"/>
              <w:gridCol w:w="1756"/>
            </w:tblGrid>
            <w:tr w14:paraId="781FE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cantSplit/>
                <w:trHeight w:val="694" w:hRule="atLeast"/>
                <w:jc w:val="center"/>
              </w:trPr>
              <w:tc>
                <w:tcPr>
                  <w:tcW w:w="2868" w:type="dxa"/>
                  <w:gridSpan w:val="2"/>
                  <w:tcBorders>
                    <w:top w:val="nil"/>
                    <w:left w:val="nil"/>
                    <w:bottom w:val="nil"/>
                    <w:right w:val="nil"/>
                  </w:tcBorders>
                  <w:shd w:val="clear" w:color="auto" w:fill="auto"/>
                  <w:vAlign w:val="center"/>
                </w:tcPr>
                <w:p w14:paraId="55B274B0">
                  <w:pPr>
                    <w:keepNext w:val="0"/>
                    <w:keepLines w:val="0"/>
                    <w:widowControl/>
                    <w:suppressLineNumbers w:val="0"/>
                    <w:jc w:val="left"/>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表十</w:t>
                  </w:r>
                </w:p>
              </w:tc>
              <w:tc>
                <w:tcPr>
                  <w:tcW w:w="2061" w:type="dxa"/>
                  <w:tcBorders>
                    <w:top w:val="nil"/>
                    <w:left w:val="nil"/>
                    <w:bottom w:val="nil"/>
                    <w:right w:val="nil"/>
                  </w:tcBorders>
                  <w:shd w:val="clear" w:color="auto" w:fill="auto"/>
                  <w:vAlign w:val="center"/>
                </w:tcPr>
                <w:p w14:paraId="6646C2CC">
                  <w:pPr>
                    <w:jc w:val="center"/>
                    <w:rPr>
                      <w:rFonts w:hint="eastAsia" w:ascii="黑体" w:hAnsi="宋体" w:eastAsia="黑体" w:cs="黑体"/>
                      <w:i w:val="0"/>
                      <w:iCs w:val="0"/>
                      <w:color w:val="000000"/>
                      <w:sz w:val="22"/>
                      <w:szCs w:val="22"/>
                      <w:u w:val="none"/>
                    </w:rPr>
                  </w:pPr>
                </w:p>
              </w:tc>
              <w:tc>
                <w:tcPr>
                  <w:tcW w:w="2266" w:type="dxa"/>
                  <w:tcBorders>
                    <w:top w:val="nil"/>
                    <w:left w:val="nil"/>
                    <w:bottom w:val="nil"/>
                    <w:right w:val="nil"/>
                  </w:tcBorders>
                  <w:shd w:val="clear" w:color="auto" w:fill="auto"/>
                  <w:vAlign w:val="center"/>
                </w:tcPr>
                <w:p w14:paraId="23EA4C51">
                  <w:pPr>
                    <w:jc w:val="center"/>
                    <w:rPr>
                      <w:rFonts w:hint="eastAsia" w:ascii="黑体" w:hAnsi="宋体" w:eastAsia="黑体" w:cs="黑体"/>
                      <w:i w:val="0"/>
                      <w:iCs w:val="0"/>
                      <w:color w:val="000000"/>
                      <w:sz w:val="22"/>
                      <w:szCs w:val="22"/>
                      <w:u w:val="none"/>
                    </w:rPr>
                  </w:pPr>
                </w:p>
              </w:tc>
              <w:tc>
                <w:tcPr>
                  <w:tcW w:w="1756" w:type="dxa"/>
                  <w:tcBorders>
                    <w:top w:val="nil"/>
                    <w:left w:val="nil"/>
                    <w:bottom w:val="nil"/>
                    <w:right w:val="nil"/>
                  </w:tcBorders>
                  <w:shd w:val="clear" w:color="auto" w:fill="auto"/>
                  <w:vAlign w:val="center"/>
                </w:tcPr>
                <w:p w14:paraId="7C331CAB">
                  <w:pPr>
                    <w:jc w:val="center"/>
                    <w:rPr>
                      <w:rFonts w:hint="eastAsia" w:ascii="黑体" w:hAnsi="宋体" w:eastAsia="黑体" w:cs="黑体"/>
                      <w:i w:val="0"/>
                      <w:iCs w:val="0"/>
                      <w:color w:val="000000"/>
                      <w:sz w:val="22"/>
                      <w:szCs w:val="22"/>
                      <w:u w:val="none"/>
                    </w:rPr>
                  </w:pPr>
                </w:p>
              </w:tc>
            </w:tr>
            <w:tr w14:paraId="3CB60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cantSplit/>
                <w:trHeight w:val="1042" w:hRule="atLeast"/>
                <w:jc w:val="center"/>
              </w:trPr>
              <w:tc>
                <w:tcPr>
                  <w:tcW w:w="8951" w:type="dxa"/>
                  <w:gridSpan w:val="5"/>
                  <w:tcBorders>
                    <w:top w:val="nil"/>
                    <w:left w:val="nil"/>
                    <w:bottom w:val="nil"/>
                    <w:right w:val="nil"/>
                  </w:tcBorders>
                  <w:shd w:val="clear" w:color="auto" w:fill="auto"/>
                  <w:vAlign w:val="center"/>
                </w:tcPr>
                <w:p w14:paraId="7214A939">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2026年一般公共预算支出资金来源表</w:t>
                  </w:r>
                </w:p>
              </w:tc>
            </w:tr>
            <w:tr w14:paraId="5BA55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cantSplit/>
                <w:trHeight w:val="378" w:hRule="atLeast"/>
                <w:jc w:val="center"/>
              </w:trPr>
              <w:tc>
                <w:tcPr>
                  <w:tcW w:w="2868" w:type="dxa"/>
                  <w:gridSpan w:val="2"/>
                  <w:tcBorders>
                    <w:top w:val="nil"/>
                    <w:left w:val="nil"/>
                    <w:bottom w:val="nil"/>
                    <w:right w:val="nil"/>
                  </w:tcBorders>
                  <w:shd w:val="clear" w:color="auto" w:fill="auto"/>
                  <w:vAlign w:val="center"/>
                </w:tcPr>
                <w:p w14:paraId="077B5791">
                  <w:pPr>
                    <w:jc w:val="left"/>
                    <w:rPr>
                      <w:rFonts w:hint="eastAsia" w:ascii="宋体" w:hAnsi="宋体" w:eastAsia="宋体" w:cs="宋体"/>
                      <w:i w:val="0"/>
                      <w:iCs w:val="0"/>
                      <w:color w:val="000000"/>
                      <w:sz w:val="21"/>
                      <w:szCs w:val="21"/>
                      <w:u w:val="none"/>
                    </w:rPr>
                  </w:pPr>
                </w:p>
              </w:tc>
              <w:tc>
                <w:tcPr>
                  <w:tcW w:w="2061" w:type="dxa"/>
                  <w:tcBorders>
                    <w:top w:val="nil"/>
                    <w:left w:val="nil"/>
                    <w:bottom w:val="nil"/>
                    <w:right w:val="nil"/>
                  </w:tcBorders>
                  <w:shd w:val="clear" w:color="auto" w:fill="auto"/>
                  <w:vAlign w:val="center"/>
                </w:tcPr>
                <w:p w14:paraId="24E6A874">
                  <w:pPr>
                    <w:jc w:val="center"/>
                    <w:rPr>
                      <w:rFonts w:hint="eastAsia" w:ascii="宋体" w:hAnsi="宋体" w:eastAsia="宋体" w:cs="宋体"/>
                      <w:i w:val="0"/>
                      <w:iCs w:val="0"/>
                      <w:color w:val="000000"/>
                      <w:sz w:val="21"/>
                      <w:szCs w:val="21"/>
                      <w:u w:val="none"/>
                    </w:rPr>
                  </w:pPr>
                </w:p>
              </w:tc>
              <w:tc>
                <w:tcPr>
                  <w:tcW w:w="2266" w:type="dxa"/>
                  <w:tcBorders>
                    <w:top w:val="nil"/>
                    <w:left w:val="nil"/>
                    <w:bottom w:val="nil"/>
                    <w:right w:val="nil"/>
                  </w:tcBorders>
                  <w:shd w:val="clear" w:color="auto" w:fill="auto"/>
                  <w:vAlign w:val="center"/>
                </w:tcPr>
                <w:p w14:paraId="0FB46B11">
                  <w:pPr>
                    <w:jc w:val="center"/>
                    <w:rPr>
                      <w:rFonts w:hint="eastAsia" w:ascii="宋体" w:hAnsi="宋体" w:eastAsia="宋体" w:cs="宋体"/>
                      <w:i w:val="0"/>
                      <w:iCs w:val="0"/>
                      <w:color w:val="000000"/>
                      <w:sz w:val="21"/>
                      <w:szCs w:val="21"/>
                      <w:u w:val="none"/>
                    </w:rPr>
                  </w:pPr>
                </w:p>
              </w:tc>
              <w:tc>
                <w:tcPr>
                  <w:tcW w:w="1756" w:type="dxa"/>
                  <w:tcBorders>
                    <w:top w:val="nil"/>
                    <w:left w:val="nil"/>
                    <w:bottom w:val="nil"/>
                    <w:right w:val="nil"/>
                  </w:tcBorders>
                  <w:shd w:val="clear" w:color="auto" w:fill="auto"/>
                  <w:vAlign w:val="center"/>
                </w:tcPr>
                <w:p w14:paraId="001CC5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5FE7D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95" w:hRule="atLeast"/>
                <w:jc w:val="center"/>
              </w:trPr>
              <w:tc>
                <w:tcPr>
                  <w:tcW w:w="2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50C8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科 目</w:t>
                  </w:r>
                </w:p>
              </w:tc>
              <w:tc>
                <w:tcPr>
                  <w:tcW w:w="20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5CB7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合 计</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14:paraId="6B16F751">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当年财力</w:t>
                  </w:r>
                </w:p>
                <w:p w14:paraId="1C70E4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安排支出</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14:paraId="118A6465">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上级专项转移</w:t>
                  </w:r>
                </w:p>
                <w:p w14:paraId="0C1597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支付安排支出</w:t>
                  </w:r>
                </w:p>
              </w:tc>
            </w:tr>
            <w:tr w14:paraId="5648A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00" w:hRule="atLeast"/>
                <w:jc w:val="center"/>
              </w:trPr>
              <w:tc>
                <w:tcPr>
                  <w:tcW w:w="2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89AE4A">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一般公共服务支出</w:t>
                  </w:r>
                </w:p>
              </w:tc>
              <w:tc>
                <w:tcPr>
                  <w:tcW w:w="20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B62AA0">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43950</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14:paraId="05F46698">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43950</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14:paraId="449DC341">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sz w:val="24"/>
                      <w:szCs w:val="24"/>
                    </w:rPr>
                    <w:t>—</w:t>
                  </w:r>
                </w:p>
              </w:tc>
            </w:tr>
            <w:tr w14:paraId="3E090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00" w:hRule="atLeast"/>
                <w:jc w:val="center"/>
              </w:trPr>
              <w:tc>
                <w:tcPr>
                  <w:tcW w:w="2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0CCECE">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外交支出</w:t>
                  </w:r>
                </w:p>
              </w:tc>
              <w:tc>
                <w:tcPr>
                  <w:tcW w:w="20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48A8A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sz w:val="24"/>
                      <w:szCs w:val="24"/>
                    </w:rPr>
                    <w:t>—</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14:paraId="32DA3389">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sz w:val="24"/>
                      <w:szCs w:val="24"/>
                    </w:rPr>
                    <w:t>—</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14:paraId="5EE5E771">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sz w:val="24"/>
                      <w:szCs w:val="24"/>
                    </w:rPr>
                    <w:t>—</w:t>
                  </w:r>
                </w:p>
              </w:tc>
            </w:tr>
            <w:tr w14:paraId="10EFF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0" w:hRule="atLeast"/>
                <w:jc w:val="center"/>
              </w:trPr>
              <w:tc>
                <w:tcPr>
                  <w:tcW w:w="2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00EE43">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国防支出</w:t>
                  </w:r>
                </w:p>
              </w:tc>
              <w:tc>
                <w:tcPr>
                  <w:tcW w:w="20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2C6F54">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51</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14:paraId="4447C0C8">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51</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14:paraId="542D2CE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sz w:val="24"/>
                      <w:szCs w:val="24"/>
                    </w:rPr>
                    <w:t>—</w:t>
                  </w:r>
                </w:p>
              </w:tc>
            </w:tr>
            <w:tr w14:paraId="48FC4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00" w:hRule="atLeast"/>
                <w:jc w:val="center"/>
              </w:trPr>
              <w:tc>
                <w:tcPr>
                  <w:tcW w:w="2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723A75">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公共安全支出</w:t>
                  </w:r>
                </w:p>
              </w:tc>
              <w:tc>
                <w:tcPr>
                  <w:tcW w:w="20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36D67A">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14412</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14:paraId="0A73562C">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14412</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14:paraId="707148E8">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sz w:val="24"/>
                      <w:szCs w:val="24"/>
                    </w:rPr>
                    <w:t>—</w:t>
                  </w:r>
                </w:p>
              </w:tc>
            </w:tr>
            <w:tr w14:paraId="18C98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0" w:hRule="atLeast"/>
                <w:jc w:val="center"/>
              </w:trPr>
              <w:tc>
                <w:tcPr>
                  <w:tcW w:w="2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5296FA">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教育支出</w:t>
                  </w:r>
                </w:p>
              </w:tc>
              <w:tc>
                <w:tcPr>
                  <w:tcW w:w="20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87869D">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102155</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14:paraId="34D2BFC0">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97156</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14:paraId="34C954F9">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4999</w:t>
                  </w:r>
                </w:p>
              </w:tc>
            </w:tr>
            <w:tr w14:paraId="5DE47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00" w:hRule="atLeast"/>
                <w:jc w:val="center"/>
              </w:trPr>
              <w:tc>
                <w:tcPr>
                  <w:tcW w:w="2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1F4C9F">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科学技术支出</w:t>
                  </w:r>
                </w:p>
              </w:tc>
              <w:tc>
                <w:tcPr>
                  <w:tcW w:w="20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FCF8D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5811</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14:paraId="3934923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5811</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14:paraId="0B83A114">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sz w:val="24"/>
                      <w:szCs w:val="24"/>
                    </w:rPr>
                    <w:t>—</w:t>
                  </w:r>
                </w:p>
              </w:tc>
            </w:tr>
            <w:tr w14:paraId="15B1F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0" w:hRule="atLeast"/>
                <w:jc w:val="center"/>
              </w:trPr>
              <w:tc>
                <w:tcPr>
                  <w:tcW w:w="2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A2CADC">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文化旅游体育与传媒支出</w:t>
                  </w:r>
                </w:p>
              </w:tc>
              <w:tc>
                <w:tcPr>
                  <w:tcW w:w="20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E1D16A">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4600</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14:paraId="5AB241C6">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4600</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14:paraId="4FE3EE1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sz w:val="24"/>
                      <w:szCs w:val="24"/>
                    </w:rPr>
                    <w:t>—</w:t>
                  </w:r>
                </w:p>
              </w:tc>
            </w:tr>
            <w:tr w14:paraId="1BC0C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00" w:hRule="atLeast"/>
                <w:jc w:val="center"/>
              </w:trPr>
              <w:tc>
                <w:tcPr>
                  <w:tcW w:w="2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BFD6D7">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社会保障和就业支出</w:t>
                  </w:r>
                </w:p>
              </w:tc>
              <w:tc>
                <w:tcPr>
                  <w:tcW w:w="20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A390F5">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48793</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14:paraId="44B8B291">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48793</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14:paraId="470E266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sz w:val="24"/>
                      <w:szCs w:val="24"/>
                    </w:rPr>
                    <w:t>—</w:t>
                  </w:r>
                </w:p>
              </w:tc>
            </w:tr>
            <w:tr w14:paraId="71DC8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00" w:hRule="atLeast"/>
                <w:jc w:val="center"/>
              </w:trPr>
              <w:tc>
                <w:tcPr>
                  <w:tcW w:w="2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E2E9AC">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卫生健康支出</w:t>
                  </w:r>
                </w:p>
              </w:tc>
              <w:tc>
                <w:tcPr>
                  <w:tcW w:w="20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E70B2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38854</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14:paraId="4AF71341">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38714</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14:paraId="301C3F1C">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140</w:t>
                  </w:r>
                </w:p>
              </w:tc>
            </w:tr>
            <w:tr w14:paraId="7514D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0" w:hRule="atLeast"/>
                <w:jc w:val="center"/>
              </w:trPr>
              <w:tc>
                <w:tcPr>
                  <w:tcW w:w="2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C8D5EF">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节能环保支出</w:t>
                  </w:r>
                </w:p>
              </w:tc>
              <w:tc>
                <w:tcPr>
                  <w:tcW w:w="20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42614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1433</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14:paraId="4A9DEEC3">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1433</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14:paraId="6299F1A1">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sz w:val="24"/>
                      <w:szCs w:val="24"/>
                    </w:rPr>
                    <w:t>—</w:t>
                  </w:r>
                </w:p>
              </w:tc>
            </w:tr>
            <w:tr w14:paraId="48E75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0" w:hRule="atLeast"/>
                <w:jc w:val="center"/>
              </w:trPr>
              <w:tc>
                <w:tcPr>
                  <w:tcW w:w="2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5D1F24">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城乡社区支出</w:t>
                  </w:r>
                </w:p>
              </w:tc>
              <w:tc>
                <w:tcPr>
                  <w:tcW w:w="20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3EFD4F">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13004</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14:paraId="0CF57938">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13004</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14:paraId="2FA47C6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sz w:val="24"/>
                      <w:szCs w:val="24"/>
                    </w:rPr>
                    <w:t>—</w:t>
                  </w:r>
                </w:p>
              </w:tc>
            </w:tr>
            <w:tr w14:paraId="2FE97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00" w:hRule="atLeast"/>
                <w:jc w:val="center"/>
              </w:trPr>
              <w:tc>
                <w:tcPr>
                  <w:tcW w:w="2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B9F966">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农林水支出</w:t>
                  </w:r>
                </w:p>
              </w:tc>
              <w:tc>
                <w:tcPr>
                  <w:tcW w:w="20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1ADF55">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53252</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14:paraId="17DF6A3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51206</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14:paraId="4635852C">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2046</w:t>
                  </w:r>
                </w:p>
              </w:tc>
            </w:tr>
            <w:tr w14:paraId="767E6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0" w:hRule="atLeast"/>
                <w:jc w:val="center"/>
              </w:trPr>
              <w:tc>
                <w:tcPr>
                  <w:tcW w:w="2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04733A">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交通运输支出</w:t>
                  </w:r>
                </w:p>
              </w:tc>
              <w:tc>
                <w:tcPr>
                  <w:tcW w:w="20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76C2C6">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7147</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14:paraId="621645FC">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7147</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14:paraId="6187BD4D">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sz w:val="24"/>
                      <w:szCs w:val="24"/>
                    </w:rPr>
                    <w:t>—</w:t>
                  </w:r>
                </w:p>
              </w:tc>
            </w:tr>
            <w:tr w14:paraId="4C006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00" w:hRule="atLeast"/>
                <w:jc w:val="center"/>
              </w:trPr>
              <w:tc>
                <w:tcPr>
                  <w:tcW w:w="2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EE3E41">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资源勘探工业信息等支出</w:t>
                  </w:r>
                </w:p>
              </w:tc>
              <w:tc>
                <w:tcPr>
                  <w:tcW w:w="20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95E420">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502</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14:paraId="4804D04B">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502</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14:paraId="54856AE5">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sz w:val="24"/>
                      <w:szCs w:val="24"/>
                    </w:rPr>
                    <w:t>—</w:t>
                  </w:r>
                </w:p>
              </w:tc>
            </w:tr>
            <w:tr w14:paraId="5F928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00" w:hRule="atLeast"/>
                <w:jc w:val="center"/>
              </w:trPr>
              <w:tc>
                <w:tcPr>
                  <w:tcW w:w="2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5A2E0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商业服务业等支出</w:t>
                  </w:r>
                </w:p>
              </w:tc>
              <w:tc>
                <w:tcPr>
                  <w:tcW w:w="20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B6E514">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214</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14:paraId="4FA3D2F6">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214</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14:paraId="0B1BA0E7">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sz w:val="24"/>
                      <w:szCs w:val="24"/>
                    </w:rPr>
                    <w:t>—</w:t>
                  </w:r>
                </w:p>
              </w:tc>
            </w:tr>
            <w:tr w14:paraId="190AF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00" w:hRule="atLeast"/>
                <w:jc w:val="center"/>
              </w:trPr>
              <w:tc>
                <w:tcPr>
                  <w:tcW w:w="2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D3158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金融支出</w:t>
                  </w:r>
                </w:p>
              </w:tc>
              <w:tc>
                <w:tcPr>
                  <w:tcW w:w="20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B6D6CD">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sz w:val="24"/>
                      <w:szCs w:val="24"/>
                    </w:rPr>
                    <w:t>—</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14:paraId="1D3E8C1D">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sz w:val="24"/>
                      <w:szCs w:val="24"/>
                    </w:rPr>
                    <w:t>—</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14:paraId="7128CB3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sz w:val="24"/>
                      <w:szCs w:val="24"/>
                    </w:rPr>
                    <w:t>—</w:t>
                  </w:r>
                </w:p>
              </w:tc>
            </w:tr>
            <w:tr w14:paraId="7CB62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00" w:hRule="atLeast"/>
                <w:jc w:val="center"/>
              </w:trPr>
              <w:tc>
                <w:tcPr>
                  <w:tcW w:w="2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3008B5">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援助其他地区支出</w:t>
                  </w:r>
                </w:p>
              </w:tc>
              <w:tc>
                <w:tcPr>
                  <w:tcW w:w="20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26F026">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sz w:val="24"/>
                      <w:szCs w:val="24"/>
                    </w:rPr>
                    <w:t>—</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14:paraId="50ED539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sz w:val="24"/>
                      <w:szCs w:val="24"/>
                    </w:rPr>
                    <w:t>—</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14:paraId="3A2E76BA">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sz w:val="24"/>
                      <w:szCs w:val="24"/>
                    </w:rPr>
                    <w:t>—</w:t>
                  </w:r>
                </w:p>
              </w:tc>
            </w:tr>
            <w:tr w14:paraId="30F4E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00" w:hRule="atLeast"/>
                <w:jc w:val="center"/>
              </w:trPr>
              <w:tc>
                <w:tcPr>
                  <w:tcW w:w="2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973CE6">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自然资源海洋气象等支出</w:t>
                  </w:r>
                </w:p>
              </w:tc>
              <w:tc>
                <w:tcPr>
                  <w:tcW w:w="20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35E6D4">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3548</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14:paraId="3C7855B6">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3548</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14:paraId="159930F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sz w:val="24"/>
                      <w:szCs w:val="24"/>
                    </w:rPr>
                    <w:t>—</w:t>
                  </w:r>
                </w:p>
              </w:tc>
            </w:tr>
            <w:tr w14:paraId="0608D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0" w:hRule="atLeast"/>
                <w:jc w:val="center"/>
              </w:trPr>
              <w:tc>
                <w:tcPr>
                  <w:tcW w:w="2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DACAB6">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住房保障支出</w:t>
                  </w:r>
                </w:p>
              </w:tc>
              <w:tc>
                <w:tcPr>
                  <w:tcW w:w="20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25BD43">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15707</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14:paraId="37DEA2F6">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15707</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14:paraId="2C7D45C5">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sz w:val="24"/>
                      <w:szCs w:val="24"/>
                    </w:rPr>
                    <w:t>—</w:t>
                  </w:r>
                </w:p>
              </w:tc>
            </w:tr>
            <w:tr w14:paraId="22A0B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00" w:hRule="atLeast"/>
                <w:jc w:val="center"/>
              </w:trPr>
              <w:tc>
                <w:tcPr>
                  <w:tcW w:w="2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91224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粮油物资储备支出</w:t>
                  </w:r>
                </w:p>
              </w:tc>
              <w:tc>
                <w:tcPr>
                  <w:tcW w:w="20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DC3BC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1031</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14:paraId="4D81D2D4">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1031</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14:paraId="30173AED">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sz w:val="24"/>
                      <w:szCs w:val="24"/>
                    </w:rPr>
                    <w:t>—</w:t>
                  </w:r>
                </w:p>
              </w:tc>
            </w:tr>
            <w:tr w14:paraId="75655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0" w:hRule="atLeast"/>
                <w:jc w:val="center"/>
              </w:trPr>
              <w:tc>
                <w:tcPr>
                  <w:tcW w:w="2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876524">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灾害防治及应急管理支出</w:t>
                  </w:r>
                </w:p>
              </w:tc>
              <w:tc>
                <w:tcPr>
                  <w:tcW w:w="20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74081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1506</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14:paraId="6F5C944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1506</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14:paraId="2E805E4A">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sz w:val="24"/>
                      <w:szCs w:val="24"/>
                    </w:rPr>
                    <w:t>—</w:t>
                  </w:r>
                </w:p>
              </w:tc>
            </w:tr>
            <w:tr w14:paraId="2BADA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2" w:hRule="atLeast"/>
                <w:jc w:val="center"/>
              </w:trPr>
              <w:tc>
                <w:tcPr>
                  <w:tcW w:w="2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2546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合  计</w:t>
                  </w:r>
                </w:p>
              </w:tc>
              <w:tc>
                <w:tcPr>
                  <w:tcW w:w="20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27BEA9">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370982</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14:paraId="52AD1BE5">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363291</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14:paraId="59675E2A">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7185</w:t>
                  </w:r>
                </w:p>
              </w:tc>
            </w:tr>
          </w:tbl>
          <w:p w14:paraId="5FEE4E42">
            <w:pPr>
              <w:rPr>
                <w:rFonts w:hint="eastAsia" w:ascii="宋体" w:hAnsi="宋体" w:eastAsia="宋体" w:cs="宋体"/>
                <w:i w:val="0"/>
                <w:iCs w:val="0"/>
                <w:color w:val="000000"/>
                <w:sz w:val="24"/>
                <w:szCs w:val="24"/>
                <w:u w:val="none"/>
              </w:rPr>
            </w:pPr>
          </w:p>
        </w:tc>
      </w:tr>
    </w:tbl>
    <w:p w14:paraId="1CF72FDA">
      <w:pPr>
        <w:keepNext w:val="0"/>
        <w:keepLines w:val="0"/>
        <w:widowControl/>
        <w:suppressLineNumbers w:val="0"/>
        <w:jc w:val="left"/>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sz w:val="32"/>
          <w:szCs w:val="32"/>
          <w:u w:val="none"/>
        </w:rPr>
        <w:br w:type="page"/>
      </w:r>
    </w:p>
    <w:tbl>
      <w:tblPr>
        <w:tblStyle w:val="20"/>
        <w:tblW w:w="9887" w:type="dxa"/>
        <w:tblInd w:w="-36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87"/>
      </w:tblGrid>
      <w:tr w14:paraId="68DF5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887" w:type="dxa"/>
            <w:tcBorders>
              <w:top w:val="nil"/>
              <w:left w:val="nil"/>
              <w:bottom w:val="nil"/>
              <w:right w:val="nil"/>
            </w:tcBorders>
            <w:shd w:val="clear" w:color="auto" w:fill="auto"/>
            <w:vAlign w:val="center"/>
          </w:tcPr>
          <w:tbl>
            <w:tblPr>
              <w:tblStyle w:val="20"/>
              <w:tblpPr w:leftFromText="180" w:rightFromText="180" w:vertAnchor="text" w:horzAnchor="page" w:tblpXSpec="center" w:tblpY="-12992"/>
              <w:tblOverlap w:val="never"/>
              <w:tblW w:w="8819" w:type="dxa"/>
              <w:jc w:val="center"/>
              <w:tblLayout w:type="fixed"/>
              <w:tblCellMar>
                <w:top w:w="0" w:type="dxa"/>
                <w:left w:w="0" w:type="dxa"/>
                <w:bottom w:w="0" w:type="dxa"/>
                <w:right w:w="0" w:type="dxa"/>
              </w:tblCellMar>
            </w:tblPr>
            <w:tblGrid>
              <w:gridCol w:w="6370"/>
              <w:gridCol w:w="2449"/>
            </w:tblGrid>
            <w:tr w14:paraId="229C57F4">
              <w:tblPrEx>
                <w:tblCellMar>
                  <w:top w:w="0" w:type="dxa"/>
                  <w:left w:w="0" w:type="dxa"/>
                  <w:bottom w:w="0" w:type="dxa"/>
                  <w:right w:w="0" w:type="dxa"/>
                </w:tblCellMar>
              </w:tblPrEx>
              <w:trPr>
                <w:cantSplit/>
                <w:trHeight w:val="227" w:hRule="atLeast"/>
                <w:jc w:val="center"/>
              </w:trPr>
              <w:tc>
                <w:tcPr>
                  <w:tcW w:w="6370" w:type="dxa"/>
                  <w:tcBorders>
                    <w:top w:val="nil"/>
                    <w:left w:val="nil"/>
                    <w:bottom w:val="nil"/>
                    <w:right w:val="nil"/>
                  </w:tcBorders>
                  <w:shd w:val="clear" w:color="auto" w:fill="auto"/>
                  <w:tcMar>
                    <w:top w:w="19" w:type="dxa"/>
                    <w:left w:w="19" w:type="dxa"/>
                    <w:bottom w:w="0" w:type="dxa"/>
                    <w:right w:w="19" w:type="dxa"/>
                  </w:tcMar>
                  <w:vAlign w:val="center"/>
                </w:tcPr>
                <w:p w14:paraId="0BD37A98">
                  <w:pPr>
                    <w:rPr>
                      <w:rFonts w:hint="eastAsia" w:ascii="宋体" w:hAnsi="宋体" w:eastAsia="黑体" w:cs="宋体"/>
                      <w:sz w:val="24"/>
                      <w:szCs w:val="24"/>
                      <w:lang w:eastAsia="zh-CN"/>
                    </w:rPr>
                  </w:pPr>
                  <w:r>
                    <w:rPr>
                      <w:rFonts w:hint="eastAsia" w:ascii="黑体" w:hAnsi="黑体" w:eastAsia="黑体" w:cs="黑体"/>
                      <w:sz w:val="32"/>
                      <w:szCs w:val="32"/>
                    </w:rPr>
                    <w:br w:type="page"/>
                  </w:r>
                  <w:r>
                    <w:rPr>
                      <w:rFonts w:hint="eastAsia" w:ascii="黑体" w:hAnsi="黑体" w:eastAsia="黑体" w:cs="黑体"/>
                      <w:sz w:val="32"/>
                      <w:szCs w:val="32"/>
                    </w:rPr>
                    <w:t>表十</w:t>
                  </w:r>
                  <w:r>
                    <w:rPr>
                      <w:rFonts w:hint="eastAsia" w:ascii="黑体" w:hAnsi="黑体" w:eastAsia="黑体" w:cs="黑体"/>
                      <w:sz w:val="32"/>
                      <w:szCs w:val="32"/>
                      <w:lang w:val="en-US" w:eastAsia="zh-CN"/>
                    </w:rPr>
                    <w:t>一</w:t>
                  </w:r>
                </w:p>
              </w:tc>
              <w:tc>
                <w:tcPr>
                  <w:tcW w:w="2449" w:type="dxa"/>
                  <w:tcBorders>
                    <w:top w:val="nil"/>
                    <w:left w:val="nil"/>
                    <w:bottom w:val="nil"/>
                    <w:right w:val="nil"/>
                  </w:tcBorders>
                  <w:shd w:val="clear" w:color="auto" w:fill="auto"/>
                  <w:tcMar>
                    <w:top w:w="19" w:type="dxa"/>
                    <w:left w:w="19" w:type="dxa"/>
                    <w:bottom w:w="0" w:type="dxa"/>
                    <w:right w:w="19" w:type="dxa"/>
                  </w:tcMar>
                  <w:vAlign w:val="center"/>
                </w:tcPr>
                <w:p w14:paraId="12034E2D">
                  <w:pPr>
                    <w:jc w:val="center"/>
                    <w:rPr>
                      <w:rFonts w:hint="eastAsia" w:ascii="宋体" w:hAnsi="宋体" w:eastAsia="宋体" w:cs="宋体"/>
                      <w:sz w:val="24"/>
                      <w:szCs w:val="24"/>
                    </w:rPr>
                  </w:pPr>
                </w:p>
              </w:tc>
            </w:tr>
            <w:tr w14:paraId="25C100A1">
              <w:tblPrEx>
                <w:tblCellMar>
                  <w:top w:w="0" w:type="dxa"/>
                  <w:left w:w="0" w:type="dxa"/>
                  <w:bottom w:w="0" w:type="dxa"/>
                  <w:right w:w="0" w:type="dxa"/>
                </w:tblCellMar>
              </w:tblPrEx>
              <w:trPr>
                <w:cantSplit/>
                <w:trHeight w:val="227" w:hRule="atLeast"/>
                <w:jc w:val="center"/>
              </w:trPr>
              <w:tc>
                <w:tcPr>
                  <w:tcW w:w="8819" w:type="dxa"/>
                  <w:gridSpan w:val="2"/>
                  <w:tcBorders>
                    <w:top w:val="nil"/>
                    <w:left w:val="nil"/>
                    <w:bottom w:val="nil"/>
                    <w:right w:val="nil"/>
                  </w:tcBorders>
                  <w:shd w:val="clear" w:color="auto" w:fill="auto"/>
                  <w:tcMar>
                    <w:top w:w="19" w:type="dxa"/>
                    <w:left w:w="19" w:type="dxa"/>
                    <w:bottom w:w="0" w:type="dxa"/>
                    <w:right w:w="19" w:type="dxa"/>
                  </w:tcMar>
                  <w:vAlign w:val="center"/>
                </w:tcPr>
                <w:p w14:paraId="59419F4C">
                  <w:pPr>
                    <w:pStyle w:val="48"/>
                    <w:spacing w:before="100" w:after="100"/>
                    <w:rPr>
                      <w:rFonts w:hint="eastAsia" w:ascii="宋体" w:hAnsi="宋体" w:eastAsia="宋体" w:cs="宋体"/>
                      <w:sz w:val="24"/>
                      <w:szCs w:val="24"/>
                    </w:rPr>
                  </w:pPr>
                  <w:r>
                    <w:rPr>
                      <w:rFonts w:hint="eastAsia" w:ascii="方正小标宋简体" w:hAnsi="方正小标宋简体" w:eastAsia="方正小标宋简体" w:cs="方正小标宋简体"/>
                      <w:sz w:val="44"/>
                      <w:szCs w:val="44"/>
                    </w:rPr>
                    <w:t>202</w:t>
                  </w:r>
                  <w:r>
                    <w:rPr>
                      <w:rFonts w:hint="eastAsia" w:hAnsi="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年税收返还和转移支付预算表（分项目）</w:t>
                  </w:r>
                </w:p>
              </w:tc>
            </w:tr>
            <w:tr w14:paraId="666D1BA1">
              <w:tblPrEx>
                <w:tblCellMar>
                  <w:top w:w="0" w:type="dxa"/>
                  <w:left w:w="0" w:type="dxa"/>
                  <w:bottom w:w="0" w:type="dxa"/>
                  <w:right w:w="0" w:type="dxa"/>
                </w:tblCellMar>
              </w:tblPrEx>
              <w:trPr>
                <w:cantSplit/>
                <w:trHeight w:val="227" w:hRule="atLeast"/>
                <w:jc w:val="center"/>
              </w:trPr>
              <w:tc>
                <w:tcPr>
                  <w:tcW w:w="6370" w:type="dxa"/>
                  <w:tcBorders>
                    <w:top w:val="nil"/>
                    <w:left w:val="nil"/>
                    <w:bottom w:val="single" w:color="auto" w:sz="4" w:space="0"/>
                    <w:right w:val="nil"/>
                  </w:tcBorders>
                  <w:shd w:val="clear" w:color="auto" w:fill="auto"/>
                  <w:tcMar>
                    <w:top w:w="19" w:type="dxa"/>
                    <w:left w:w="19" w:type="dxa"/>
                    <w:bottom w:w="0" w:type="dxa"/>
                    <w:right w:w="19" w:type="dxa"/>
                  </w:tcMar>
                  <w:vAlign w:val="center"/>
                </w:tcPr>
                <w:p w14:paraId="3BF39C16">
                  <w:pPr>
                    <w:rPr>
                      <w:rFonts w:hint="eastAsia" w:ascii="宋体" w:hAnsi="宋体" w:eastAsia="宋体" w:cs="宋体"/>
                      <w:sz w:val="24"/>
                      <w:szCs w:val="24"/>
                    </w:rPr>
                  </w:pPr>
                </w:p>
              </w:tc>
              <w:tc>
                <w:tcPr>
                  <w:tcW w:w="2449" w:type="dxa"/>
                  <w:tcBorders>
                    <w:top w:val="nil"/>
                    <w:left w:val="nil"/>
                    <w:bottom w:val="single" w:color="auto" w:sz="4" w:space="0"/>
                    <w:right w:val="nil"/>
                  </w:tcBorders>
                  <w:shd w:val="clear" w:color="auto" w:fill="auto"/>
                  <w:tcMar>
                    <w:top w:w="19" w:type="dxa"/>
                    <w:left w:w="19" w:type="dxa"/>
                    <w:bottom w:w="0" w:type="dxa"/>
                    <w:right w:w="19" w:type="dxa"/>
                  </w:tcMar>
                  <w:vAlign w:val="center"/>
                </w:tcPr>
                <w:p w14:paraId="48BC24E4">
                  <w:pPr>
                    <w:jc w:val="right"/>
                    <w:rPr>
                      <w:rFonts w:hint="eastAsia" w:ascii="宋体" w:hAnsi="宋体" w:eastAsia="宋体" w:cs="宋体"/>
                      <w:sz w:val="24"/>
                      <w:szCs w:val="24"/>
                    </w:rPr>
                  </w:pPr>
                  <w:r>
                    <w:rPr>
                      <w:rFonts w:hint="eastAsia" w:ascii="宋体" w:hAnsi="宋体" w:eastAsia="宋体" w:cs="宋体"/>
                      <w:sz w:val="24"/>
                      <w:szCs w:val="24"/>
                    </w:rPr>
                    <w:t>单位</w:t>
                  </w:r>
                  <w:r>
                    <w:rPr>
                      <w:rFonts w:hint="eastAsia" w:ascii="宋体" w:hAnsi="宋体" w:eastAsia="宋体" w:cs="宋体"/>
                      <w:sz w:val="24"/>
                      <w:szCs w:val="24"/>
                      <w:lang w:eastAsia="zh-CN"/>
                    </w:rPr>
                    <w:t>：</w:t>
                  </w:r>
                  <w:r>
                    <w:rPr>
                      <w:rFonts w:hint="eastAsia" w:ascii="宋体" w:hAnsi="宋体" w:eastAsia="宋体" w:cs="宋体"/>
                      <w:sz w:val="24"/>
                      <w:szCs w:val="24"/>
                    </w:rPr>
                    <w:t>万元</w:t>
                  </w:r>
                </w:p>
              </w:tc>
            </w:tr>
            <w:tr w14:paraId="7F3A62AC">
              <w:tblPrEx>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56B1DD0D">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项   目</w:t>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7CE11821">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叶县</w:t>
                  </w:r>
                </w:p>
              </w:tc>
            </w:tr>
            <w:tr w14:paraId="0D98CF4A">
              <w:tblPrEx>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3A9D382A">
                  <w:pPr>
                    <w:spacing w:line="360" w:lineRule="exact"/>
                    <w:rPr>
                      <w:rFonts w:hint="eastAsia" w:ascii="宋体" w:hAnsi="宋体" w:eastAsia="宋体" w:cs="宋体"/>
                      <w:sz w:val="24"/>
                      <w:szCs w:val="24"/>
                    </w:rPr>
                  </w:pPr>
                  <w:r>
                    <w:rPr>
                      <w:rFonts w:hint="eastAsia" w:ascii="宋体" w:hAnsi="宋体" w:eastAsia="宋体" w:cs="宋体"/>
                      <w:sz w:val="24"/>
                      <w:szCs w:val="24"/>
                    </w:rPr>
                    <w:t>合计</w:t>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454CCEF5">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color w:val="000000"/>
                      <w:kern w:val="0"/>
                      <w:sz w:val="24"/>
                      <w:szCs w:val="24"/>
                      <w:u w:val="none"/>
                      <w:lang w:val="en-US" w:eastAsia="zh-CN" w:bidi="ar"/>
                    </w:rPr>
                    <w:t>235907</w:t>
                  </w:r>
                </w:p>
              </w:tc>
            </w:tr>
            <w:tr w14:paraId="1FDBD839">
              <w:tblPrEx>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0D914BFF">
                  <w:pPr>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一、返还性收入</w:t>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2C7721EF">
                  <w:pPr>
                    <w:spacing w:line="3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5910</w:t>
                  </w:r>
                </w:p>
              </w:tc>
            </w:tr>
            <w:tr w14:paraId="38865322">
              <w:tblPrEx>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3788C3AE">
                  <w:pPr>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所得税基数返还收入 </w:t>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23D20096">
                  <w:pPr>
                    <w:spacing w:line="3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212</w:t>
                  </w:r>
                </w:p>
              </w:tc>
            </w:tr>
            <w:tr w14:paraId="436C9574">
              <w:tblPrEx>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2FE91DE6">
                  <w:pPr>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成品油税费改革税收返还收入</w:t>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1979148C">
                  <w:pPr>
                    <w:spacing w:line="3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1497</w:t>
                  </w:r>
                </w:p>
              </w:tc>
            </w:tr>
            <w:tr w14:paraId="515A676F">
              <w:tblPrEx>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4092D1DE">
                  <w:pPr>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增值税税收返还收入</w:t>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7221A5A8">
                  <w:pPr>
                    <w:spacing w:line="3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734</w:t>
                  </w:r>
                </w:p>
              </w:tc>
            </w:tr>
            <w:tr w14:paraId="2A099BC7">
              <w:tblPrEx>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4B235104">
                  <w:pPr>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消费税税收返还收入</w:t>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22171777">
                  <w:pPr>
                    <w:spacing w:line="3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253</w:t>
                  </w:r>
                </w:p>
              </w:tc>
            </w:tr>
            <w:tr w14:paraId="39E19768">
              <w:tblPrEx>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3473EE10">
                  <w:pPr>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增值税五五分享税收返还收入</w:t>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0A7B40FA">
                  <w:pPr>
                    <w:spacing w:line="3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3214</w:t>
                  </w:r>
                </w:p>
              </w:tc>
            </w:tr>
            <w:tr w14:paraId="67617FDE">
              <w:tblPrEx>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681B0E92">
                  <w:pPr>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二、一般性转移支付收入</w:t>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4B80DD14">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222812</w:t>
                  </w:r>
                </w:p>
              </w:tc>
            </w:tr>
            <w:tr w14:paraId="53FC2709">
              <w:tblPrEx>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7C76E8F2">
                  <w:pPr>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均衡性转移支付收入</w:t>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682EBAD1">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75060</w:t>
                  </w:r>
                </w:p>
              </w:tc>
            </w:tr>
            <w:tr w14:paraId="0323CB56">
              <w:tblPrEx>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48A995BA">
                  <w:pPr>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县级基本财力保障机制奖补资金收入</w:t>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76CF1894">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28418</w:t>
                  </w:r>
                </w:p>
              </w:tc>
            </w:tr>
            <w:tr w14:paraId="25C02309">
              <w:tblPrEx>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2C564B45">
                  <w:pPr>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结算补助收入</w:t>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40E54FF6">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125</w:t>
                  </w:r>
                </w:p>
              </w:tc>
            </w:tr>
            <w:tr w14:paraId="6516940D">
              <w:tblPrEx>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4D240675">
                  <w:pPr>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产粮（油）大县奖励资金收入</w:t>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63F950AF">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4764</w:t>
                  </w:r>
                </w:p>
              </w:tc>
            </w:tr>
            <w:tr w14:paraId="1BAE4AED">
              <w:tblPrEx>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604F5417">
                  <w:pPr>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重点生态功能区转移支付收入</w:t>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1BFAEA87">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3165</w:t>
                  </w:r>
                </w:p>
              </w:tc>
            </w:tr>
            <w:tr w14:paraId="6FC60F97">
              <w:tblPrEx>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1C792BF5">
                  <w:pPr>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固定数额补助收入</w:t>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6EA2D791">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27566</w:t>
                  </w:r>
                </w:p>
              </w:tc>
            </w:tr>
            <w:tr w14:paraId="73DADA8D">
              <w:tblPrEx>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616D0B44">
                  <w:pPr>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民族地区转移支付收入</w:t>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351810FD">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200</w:t>
                  </w:r>
                </w:p>
              </w:tc>
            </w:tr>
            <w:tr w14:paraId="766FD786">
              <w:tblPrEx>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28226853">
                  <w:pPr>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巩固脱贫攻坚成果衔接乡村振兴转移支付</w:t>
                  </w:r>
                  <w:r>
                    <w:rPr>
                      <w:rFonts w:hint="eastAsia" w:ascii="宋体" w:hAnsi="宋体" w:eastAsia="宋体" w:cs="宋体"/>
                      <w:sz w:val="24"/>
                      <w:szCs w:val="24"/>
                      <w:highlight w:val="none"/>
                      <w:lang w:val="en-US" w:eastAsia="zh-CN"/>
                    </w:rPr>
                    <w:t>收</w:t>
                  </w:r>
                  <w:r>
                    <w:rPr>
                      <w:rFonts w:hint="eastAsia" w:ascii="宋体" w:hAnsi="宋体" w:eastAsia="宋体" w:cs="宋体"/>
                      <w:sz w:val="24"/>
                      <w:szCs w:val="24"/>
                      <w:highlight w:val="none"/>
                    </w:rPr>
                    <w:t>入</w:t>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53B5086A">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6459</w:t>
                  </w:r>
                </w:p>
              </w:tc>
            </w:tr>
            <w:tr w14:paraId="13E418D0">
              <w:tblPrEx>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5E7F2C8C">
                  <w:pPr>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公共安全共同财政事权转移支付收入</w:t>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05BBD265">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1498</w:t>
                  </w:r>
                </w:p>
              </w:tc>
            </w:tr>
            <w:tr w14:paraId="2D5FECFD">
              <w:tblPrEx>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145A1FA0">
                  <w:pPr>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教育共同财政事权转移支付收入</w:t>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03664181">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24787</w:t>
                  </w:r>
                </w:p>
              </w:tc>
            </w:tr>
            <w:tr w14:paraId="62BB7107">
              <w:tblPrEx>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17D0DFFE">
                  <w:pPr>
                    <w:tabs>
                      <w:tab w:val="left" w:pos="783"/>
                    </w:tabs>
                    <w:spacing w:line="360" w:lineRule="exact"/>
                    <w:ind w:firstLine="720" w:firstLineChars="3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文化旅游体育与传媒共同财政事权转移支付收入</w:t>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6E63A186">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574</w:t>
                  </w:r>
                </w:p>
              </w:tc>
            </w:tr>
            <w:tr w14:paraId="6311209B">
              <w:tblPrEx>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679E73BB">
                  <w:pPr>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社会保障和就业共同财政事权转移支付收入</w:t>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44F846A2">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16228</w:t>
                  </w:r>
                </w:p>
              </w:tc>
            </w:tr>
            <w:tr w14:paraId="0D8E032B">
              <w:tblPrEx>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65BBF5EA">
                  <w:pPr>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医疗卫生共同财政事权转移支付收入</w:t>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59329D2A">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14088</w:t>
                  </w:r>
                </w:p>
              </w:tc>
            </w:tr>
            <w:tr w14:paraId="1E77A5CF">
              <w:tblPrEx>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4E105FAC">
                  <w:pPr>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节能环保</w:t>
                  </w:r>
                  <w:r>
                    <w:rPr>
                      <w:rFonts w:hint="eastAsia" w:ascii="宋体" w:hAnsi="宋体" w:eastAsia="宋体" w:cs="宋体"/>
                      <w:sz w:val="24"/>
                      <w:szCs w:val="24"/>
                      <w:highlight w:val="none"/>
                    </w:rPr>
                    <w:t>共同财政事权转移支付收入</w:t>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3D3C9E18">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w:t>
                  </w:r>
                </w:p>
              </w:tc>
            </w:tr>
            <w:tr w14:paraId="27994A89">
              <w:tblPrEx>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4331D1D2">
                  <w:pPr>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农林水共同财政事权转移支付收入</w:t>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29011598">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18621</w:t>
                  </w:r>
                </w:p>
              </w:tc>
            </w:tr>
            <w:tr w14:paraId="3076A79A">
              <w:tblPrEx>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38317D3A">
                  <w:pPr>
                    <w:spacing w:line="360" w:lineRule="exac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 xml:space="preserve">      交通运输共同财政事权转移支付收入</w:t>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4A98F136">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95</w:t>
                  </w:r>
                </w:p>
              </w:tc>
            </w:tr>
            <w:tr w14:paraId="7FD421BD">
              <w:tblPrEx>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6FD6169F">
                  <w:pPr>
                    <w:spacing w:line="36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住房保障共同财政事权转移支付收入</w:t>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2B40E594">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559</w:t>
                  </w:r>
                </w:p>
              </w:tc>
            </w:tr>
            <w:tr w14:paraId="509F232A">
              <w:tblPrEx>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39FBAEC4">
                  <w:pPr>
                    <w:tabs>
                      <w:tab w:val="left" w:pos="1668"/>
                    </w:tabs>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 xml:space="preserve">      其他转移支付收入</w:t>
                  </w:r>
                  <w:r>
                    <w:rPr>
                      <w:rFonts w:hint="eastAsia" w:ascii="宋体" w:hAnsi="宋体" w:eastAsia="宋体" w:cs="宋体"/>
                      <w:sz w:val="24"/>
                      <w:szCs w:val="24"/>
                      <w:highlight w:val="none"/>
                      <w:lang w:eastAsia="zh-CN"/>
                    </w:rPr>
                    <w:tab/>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54B61CF4">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586</w:t>
                  </w:r>
                </w:p>
              </w:tc>
            </w:tr>
            <w:tr w14:paraId="68B57855">
              <w:tblPrEx>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0289935D">
                  <w:pPr>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三、专项转移支付收入</w:t>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282E7A7C">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7185</w:t>
                  </w:r>
                </w:p>
              </w:tc>
            </w:tr>
            <w:tr w14:paraId="2CA0BC8A">
              <w:tblPrEx>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678BA022">
                  <w:pPr>
                    <w:spacing w:line="36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教育</w:t>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74771EA7">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4999</w:t>
                  </w:r>
                </w:p>
              </w:tc>
            </w:tr>
            <w:tr w14:paraId="3DA88A66">
              <w:tblPrEx>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342B1B86">
                  <w:pPr>
                    <w:spacing w:line="36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卫生健康</w:t>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4425AFBB">
                  <w:pPr>
                    <w:keepNext w:val="0"/>
                    <w:keepLines w:val="0"/>
                    <w:widowControl/>
                    <w:suppressLineNumbers w:val="0"/>
                    <w:jc w:val="center"/>
                    <w:textAlignment w:val="center"/>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140</w:t>
                  </w:r>
                </w:p>
              </w:tc>
            </w:tr>
            <w:tr w14:paraId="17C29A8A">
              <w:tblPrEx>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26E4E53E">
                  <w:pPr>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农林水</w:t>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5CE1A024">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2046</w:t>
                  </w:r>
                </w:p>
              </w:tc>
            </w:tr>
          </w:tbl>
          <w:p w14:paraId="2CE8075C">
            <w:pPr>
              <w:keepNext w:val="0"/>
              <w:keepLines w:val="0"/>
              <w:widowControl/>
              <w:suppressLineNumbers w:val="0"/>
              <w:jc w:val="left"/>
              <w:textAlignment w:val="center"/>
              <w:rPr>
                <w:rFonts w:hint="eastAsia" w:ascii="黑体" w:hAnsi="宋体" w:eastAsia="黑体" w:cs="黑体"/>
                <w:i w:val="0"/>
                <w:iCs w:val="0"/>
                <w:color w:val="000000"/>
                <w:sz w:val="32"/>
                <w:szCs w:val="32"/>
                <w:u w:val="none"/>
              </w:rPr>
            </w:pPr>
          </w:p>
        </w:tc>
      </w:tr>
    </w:tbl>
    <w:p w14:paraId="06340F9C">
      <w:pPr>
        <w:widowControl/>
        <w:jc w:val="left"/>
        <w:rPr>
          <w:rFonts w:hint="eastAsia" w:ascii="黑体" w:hAnsi="黑体" w:eastAsia="黑体" w:cs="黑体"/>
          <w:kern w:val="0"/>
          <w:sz w:val="32"/>
          <w:szCs w:val="32"/>
        </w:rPr>
      </w:pPr>
      <w:bookmarkStart w:id="11" w:name="RANGE!A1:B11"/>
      <w:r>
        <w:rPr>
          <w:rFonts w:hint="eastAsia" w:ascii="黑体" w:hAnsi="黑体" w:eastAsia="黑体" w:cs="黑体"/>
          <w:kern w:val="0"/>
          <w:sz w:val="32"/>
          <w:szCs w:val="32"/>
        </w:rPr>
        <w:br w:type="page"/>
      </w:r>
    </w:p>
    <w:bookmarkEnd w:id="11"/>
    <w:tbl>
      <w:tblPr>
        <w:tblStyle w:val="20"/>
        <w:tblpPr w:leftFromText="180" w:rightFromText="180" w:vertAnchor="text" w:horzAnchor="page" w:tblpXSpec="center" w:tblpY="130"/>
        <w:tblW w:w="8950" w:type="dxa"/>
        <w:jc w:val="center"/>
        <w:tblLayout w:type="fixed"/>
        <w:tblCellMar>
          <w:top w:w="0" w:type="dxa"/>
          <w:left w:w="108" w:type="dxa"/>
          <w:bottom w:w="0" w:type="dxa"/>
          <w:right w:w="108" w:type="dxa"/>
        </w:tblCellMar>
      </w:tblPr>
      <w:tblGrid>
        <w:gridCol w:w="5122"/>
        <w:gridCol w:w="3828"/>
      </w:tblGrid>
      <w:tr w14:paraId="146DF101">
        <w:tblPrEx>
          <w:tblCellMar>
            <w:top w:w="0" w:type="dxa"/>
            <w:left w:w="108" w:type="dxa"/>
            <w:bottom w:w="0" w:type="dxa"/>
            <w:right w:w="108" w:type="dxa"/>
          </w:tblCellMar>
        </w:tblPrEx>
        <w:trPr>
          <w:trHeight w:val="409" w:hRule="atLeast"/>
          <w:jc w:val="center"/>
        </w:trPr>
        <w:tc>
          <w:tcPr>
            <w:tcW w:w="5122" w:type="dxa"/>
            <w:tcBorders>
              <w:top w:val="nil"/>
              <w:left w:val="nil"/>
              <w:bottom w:val="nil"/>
              <w:right w:val="nil"/>
            </w:tcBorders>
            <w:shd w:val="clear" w:color="auto" w:fill="auto"/>
            <w:vAlign w:val="center"/>
          </w:tcPr>
          <w:p w14:paraId="7AC9051F">
            <w:pPr>
              <w:widowControl/>
              <w:jc w:val="left"/>
              <w:rPr>
                <w:rFonts w:hint="eastAsia" w:ascii="宋体" w:hAnsi="宋体" w:eastAsia="黑体" w:cs="宋体"/>
                <w:kern w:val="0"/>
                <w:sz w:val="24"/>
                <w:szCs w:val="24"/>
                <w:lang w:eastAsia="zh-CN"/>
              </w:rPr>
            </w:pPr>
            <w:r>
              <w:rPr>
                <w:rFonts w:hint="eastAsia" w:ascii="黑体" w:hAnsi="黑体" w:eastAsia="黑体" w:cs="黑体"/>
                <w:kern w:val="0"/>
                <w:sz w:val="32"/>
                <w:szCs w:val="32"/>
              </w:rPr>
              <w:t>表十</w:t>
            </w:r>
            <w:r>
              <w:rPr>
                <w:rFonts w:hint="eastAsia" w:ascii="黑体" w:hAnsi="黑体" w:eastAsia="黑体" w:cs="黑体"/>
                <w:kern w:val="0"/>
                <w:sz w:val="32"/>
                <w:szCs w:val="32"/>
                <w:lang w:val="en-US" w:eastAsia="zh-CN"/>
              </w:rPr>
              <w:t>二</w:t>
            </w:r>
          </w:p>
        </w:tc>
        <w:tc>
          <w:tcPr>
            <w:tcW w:w="3828" w:type="dxa"/>
            <w:tcBorders>
              <w:top w:val="nil"/>
              <w:left w:val="nil"/>
              <w:bottom w:val="nil"/>
              <w:right w:val="nil"/>
            </w:tcBorders>
            <w:shd w:val="clear" w:color="auto" w:fill="auto"/>
            <w:vAlign w:val="center"/>
          </w:tcPr>
          <w:p w14:paraId="32AA90C5">
            <w:pPr>
              <w:widowControl/>
              <w:jc w:val="left"/>
              <w:rPr>
                <w:rFonts w:hint="eastAsia" w:ascii="宋体" w:hAnsi="宋体" w:eastAsia="宋体" w:cs="宋体"/>
                <w:kern w:val="0"/>
                <w:sz w:val="24"/>
                <w:szCs w:val="24"/>
              </w:rPr>
            </w:pPr>
          </w:p>
        </w:tc>
      </w:tr>
      <w:tr w14:paraId="456C7975">
        <w:tblPrEx>
          <w:tblCellMar>
            <w:top w:w="0" w:type="dxa"/>
            <w:left w:w="108" w:type="dxa"/>
            <w:bottom w:w="0" w:type="dxa"/>
            <w:right w:w="108" w:type="dxa"/>
          </w:tblCellMar>
        </w:tblPrEx>
        <w:trPr>
          <w:trHeight w:val="990" w:hRule="atLeast"/>
          <w:jc w:val="center"/>
        </w:trPr>
        <w:tc>
          <w:tcPr>
            <w:tcW w:w="8950" w:type="dxa"/>
            <w:gridSpan w:val="2"/>
            <w:tcBorders>
              <w:top w:val="nil"/>
              <w:left w:val="nil"/>
              <w:bottom w:val="nil"/>
              <w:right w:val="nil"/>
            </w:tcBorders>
            <w:shd w:val="clear" w:color="auto" w:fill="auto"/>
            <w:vAlign w:val="center"/>
          </w:tcPr>
          <w:p w14:paraId="2C688C1C">
            <w:pPr>
              <w:pStyle w:val="48"/>
              <w:rPr>
                <w:rFonts w:hint="eastAsia" w:ascii="宋体" w:hAnsi="宋体" w:eastAsia="宋体" w:cs="宋体"/>
                <w:sz w:val="24"/>
                <w:szCs w:val="24"/>
              </w:rPr>
            </w:pPr>
            <w:bookmarkStart w:id="12" w:name="OLE_LINK3" w:colFirst="0" w:colLast="1"/>
            <w:r>
              <w:rPr>
                <w:rFonts w:hint="eastAsia" w:ascii="方正小标宋简体" w:hAnsi="方正小标宋简体" w:eastAsia="方正小标宋简体" w:cs="方正小标宋简体"/>
                <w:sz w:val="44"/>
                <w:szCs w:val="44"/>
                <w:highlight w:val="none"/>
              </w:rPr>
              <w:t>202</w:t>
            </w:r>
            <w:r>
              <w:rPr>
                <w:rFonts w:hint="eastAsia" w:hAnsi="方正小标宋简体" w:cs="方正小标宋简体"/>
                <w:sz w:val="44"/>
                <w:szCs w:val="44"/>
                <w:highlight w:val="none"/>
                <w:lang w:val="en-US" w:eastAsia="zh-CN"/>
              </w:rPr>
              <w:t>5</w:t>
            </w:r>
            <w:r>
              <w:rPr>
                <w:rFonts w:hint="eastAsia" w:ascii="方正小标宋简体" w:hAnsi="方正小标宋简体" w:eastAsia="方正小标宋简体" w:cs="方正小标宋简体"/>
                <w:sz w:val="44"/>
                <w:szCs w:val="44"/>
              </w:rPr>
              <w:t>年一般债务限额余额情况表</w:t>
            </w:r>
          </w:p>
        </w:tc>
      </w:tr>
      <w:tr w14:paraId="7105C7A2">
        <w:tblPrEx>
          <w:tblCellMar>
            <w:top w:w="0" w:type="dxa"/>
            <w:left w:w="108" w:type="dxa"/>
            <w:bottom w:w="0" w:type="dxa"/>
            <w:right w:w="108" w:type="dxa"/>
          </w:tblCellMar>
        </w:tblPrEx>
        <w:trPr>
          <w:trHeight w:val="510" w:hRule="atLeast"/>
          <w:jc w:val="center"/>
        </w:trPr>
        <w:tc>
          <w:tcPr>
            <w:tcW w:w="5122" w:type="dxa"/>
            <w:tcBorders>
              <w:top w:val="nil"/>
              <w:left w:val="nil"/>
              <w:bottom w:val="nil"/>
              <w:right w:val="nil"/>
            </w:tcBorders>
            <w:shd w:val="clear" w:color="auto" w:fill="auto"/>
            <w:vAlign w:val="center"/>
          </w:tcPr>
          <w:p w14:paraId="2DE0311F">
            <w:pPr>
              <w:widowControl/>
              <w:jc w:val="left"/>
              <w:rPr>
                <w:rFonts w:hint="eastAsia" w:ascii="宋体" w:hAnsi="宋体" w:eastAsia="宋体" w:cs="宋体"/>
                <w:kern w:val="0"/>
                <w:sz w:val="24"/>
                <w:szCs w:val="24"/>
              </w:rPr>
            </w:pPr>
          </w:p>
        </w:tc>
        <w:tc>
          <w:tcPr>
            <w:tcW w:w="3828" w:type="dxa"/>
            <w:tcBorders>
              <w:top w:val="nil"/>
              <w:left w:val="nil"/>
              <w:bottom w:val="nil"/>
              <w:right w:val="nil"/>
            </w:tcBorders>
            <w:shd w:val="clear" w:color="auto" w:fill="auto"/>
            <w:vAlign w:val="center"/>
          </w:tcPr>
          <w:p w14:paraId="044020EC">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xml:space="preserve">                                   单位：万元</w:t>
            </w:r>
          </w:p>
        </w:tc>
      </w:tr>
      <w:tr w14:paraId="66030EF9">
        <w:tblPrEx>
          <w:tblCellMar>
            <w:top w:w="0" w:type="dxa"/>
            <w:left w:w="108" w:type="dxa"/>
            <w:bottom w:w="0" w:type="dxa"/>
            <w:right w:w="108" w:type="dxa"/>
          </w:tblCellMar>
        </w:tblPrEx>
        <w:trPr>
          <w:trHeight w:val="624" w:hRule="atLeast"/>
          <w:jc w:val="center"/>
        </w:trPr>
        <w:tc>
          <w:tcPr>
            <w:tcW w:w="512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3E3C9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项</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目</w:t>
            </w:r>
          </w:p>
        </w:tc>
        <w:tc>
          <w:tcPr>
            <w:tcW w:w="382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EE06E8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金</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额</w:t>
            </w:r>
          </w:p>
        </w:tc>
      </w:tr>
      <w:tr w14:paraId="64E6D52E">
        <w:tblPrEx>
          <w:tblCellMar>
            <w:top w:w="0" w:type="dxa"/>
            <w:left w:w="108" w:type="dxa"/>
            <w:bottom w:w="0" w:type="dxa"/>
            <w:right w:w="108" w:type="dxa"/>
          </w:tblCellMar>
        </w:tblPrEx>
        <w:trPr>
          <w:trHeight w:val="624" w:hRule="atLeast"/>
          <w:jc w:val="center"/>
        </w:trPr>
        <w:tc>
          <w:tcPr>
            <w:tcW w:w="5122" w:type="dxa"/>
            <w:vMerge w:val="continue"/>
            <w:tcBorders>
              <w:top w:val="single" w:color="auto" w:sz="4" w:space="0"/>
              <w:left w:val="single" w:color="auto" w:sz="4" w:space="0"/>
              <w:bottom w:val="single" w:color="auto" w:sz="4" w:space="0"/>
              <w:right w:val="single" w:color="auto" w:sz="4" w:space="0"/>
            </w:tcBorders>
            <w:vAlign w:val="center"/>
          </w:tcPr>
          <w:p w14:paraId="125A6A9F">
            <w:pPr>
              <w:widowControl/>
              <w:jc w:val="left"/>
              <w:rPr>
                <w:rFonts w:hint="eastAsia" w:ascii="宋体" w:hAnsi="宋体" w:eastAsia="宋体" w:cs="宋体"/>
                <w:kern w:val="0"/>
                <w:sz w:val="24"/>
                <w:szCs w:val="24"/>
              </w:rPr>
            </w:pPr>
          </w:p>
        </w:tc>
        <w:tc>
          <w:tcPr>
            <w:tcW w:w="3828" w:type="dxa"/>
            <w:vMerge w:val="continue"/>
            <w:tcBorders>
              <w:top w:val="single" w:color="auto" w:sz="4" w:space="0"/>
              <w:left w:val="single" w:color="auto" w:sz="4" w:space="0"/>
              <w:bottom w:val="single" w:color="000000" w:sz="4" w:space="0"/>
              <w:right w:val="single" w:color="auto" w:sz="4" w:space="0"/>
            </w:tcBorders>
            <w:vAlign w:val="center"/>
          </w:tcPr>
          <w:p w14:paraId="39814AA6">
            <w:pPr>
              <w:widowControl/>
              <w:jc w:val="left"/>
              <w:rPr>
                <w:rFonts w:hint="eastAsia" w:ascii="宋体" w:hAnsi="宋体" w:eastAsia="宋体" w:cs="宋体"/>
                <w:kern w:val="0"/>
                <w:sz w:val="24"/>
                <w:szCs w:val="24"/>
              </w:rPr>
            </w:pPr>
          </w:p>
        </w:tc>
      </w:tr>
      <w:tr w14:paraId="72FEF558">
        <w:tblPrEx>
          <w:tblCellMar>
            <w:top w:w="0" w:type="dxa"/>
            <w:left w:w="108" w:type="dxa"/>
            <w:bottom w:w="0" w:type="dxa"/>
            <w:right w:w="108" w:type="dxa"/>
          </w:tblCellMar>
        </w:tblPrEx>
        <w:trPr>
          <w:trHeight w:val="795" w:hRule="atLeast"/>
          <w:jc w:val="center"/>
        </w:trPr>
        <w:tc>
          <w:tcPr>
            <w:tcW w:w="5122" w:type="dxa"/>
            <w:tcBorders>
              <w:top w:val="nil"/>
              <w:left w:val="single" w:color="auto" w:sz="4" w:space="0"/>
              <w:bottom w:val="single" w:color="auto" w:sz="4" w:space="0"/>
              <w:right w:val="single" w:color="auto" w:sz="4" w:space="0"/>
            </w:tcBorders>
            <w:shd w:val="clear" w:color="auto" w:fill="auto"/>
            <w:vAlign w:val="center"/>
          </w:tcPr>
          <w:p w14:paraId="7DD11F0C">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一</w:t>
            </w:r>
            <w:r>
              <w:rPr>
                <w:rFonts w:hint="eastAsia" w:ascii="宋体" w:hAnsi="宋体" w:eastAsia="宋体" w:cs="宋体"/>
                <w:kern w:val="0"/>
                <w:sz w:val="24"/>
                <w:szCs w:val="24"/>
                <w:highlight w:val="none"/>
              </w:rPr>
              <w:t>、202</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年末政府一般债务余额实际数</w:t>
            </w:r>
          </w:p>
        </w:tc>
        <w:tc>
          <w:tcPr>
            <w:tcW w:w="3828" w:type="dxa"/>
            <w:tcBorders>
              <w:top w:val="nil"/>
              <w:left w:val="nil"/>
              <w:bottom w:val="single" w:color="auto" w:sz="4" w:space="0"/>
              <w:right w:val="single" w:color="auto" w:sz="4" w:space="0"/>
            </w:tcBorders>
            <w:shd w:val="clear" w:color="auto" w:fill="auto"/>
            <w:vAlign w:val="center"/>
          </w:tcPr>
          <w:p w14:paraId="4D83DE7E">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173504</w:t>
            </w:r>
          </w:p>
        </w:tc>
      </w:tr>
      <w:tr w14:paraId="5B0D67FC">
        <w:tblPrEx>
          <w:tblCellMar>
            <w:top w:w="0" w:type="dxa"/>
            <w:left w:w="108" w:type="dxa"/>
            <w:bottom w:w="0" w:type="dxa"/>
            <w:right w:w="108" w:type="dxa"/>
          </w:tblCellMar>
        </w:tblPrEx>
        <w:trPr>
          <w:trHeight w:val="795" w:hRule="atLeast"/>
          <w:jc w:val="center"/>
        </w:trPr>
        <w:tc>
          <w:tcPr>
            <w:tcW w:w="5122" w:type="dxa"/>
            <w:tcBorders>
              <w:top w:val="nil"/>
              <w:left w:val="single" w:color="auto" w:sz="4" w:space="0"/>
              <w:bottom w:val="single" w:color="auto" w:sz="4" w:space="0"/>
              <w:right w:val="single" w:color="auto" w:sz="4" w:space="0"/>
            </w:tcBorders>
            <w:shd w:val="clear" w:color="auto" w:fill="auto"/>
            <w:vAlign w:val="center"/>
          </w:tcPr>
          <w:p w14:paraId="1A9696B0">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二</w:t>
            </w:r>
            <w:r>
              <w:rPr>
                <w:rFonts w:hint="eastAsia" w:ascii="宋体" w:hAnsi="宋体" w:eastAsia="宋体" w:cs="宋体"/>
                <w:kern w:val="0"/>
                <w:sz w:val="24"/>
                <w:szCs w:val="24"/>
                <w:highlight w:val="none"/>
              </w:rPr>
              <w:t>、202</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年末政府一般债务限额</w:t>
            </w:r>
          </w:p>
        </w:tc>
        <w:tc>
          <w:tcPr>
            <w:tcW w:w="3828" w:type="dxa"/>
            <w:tcBorders>
              <w:top w:val="nil"/>
              <w:left w:val="nil"/>
              <w:bottom w:val="single" w:color="auto" w:sz="4" w:space="0"/>
              <w:right w:val="single" w:color="auto" w:sz="4" w:space="0"/>
            </w:tcBorders>
            <w:shd w:val="clear" w:color="auto" w:fill="auto"/>
            <w:vAlign w:val="center"/>
          </w:tcPr>
          <w:p w14:paraId="04BADDCC">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174521</w:t>
            </w:r>
          </w:p>
        </w:tc>
      </w:tr>
      <w:tr w14:paraId="6276D050">
        <w:tblPrEx>
          <w:tblCellMar>
            <w:top w:w="0" w:type="dxa"/>
            <w:left w:w="108" w:type="dxa"/>
            <w:bottom w:w="0" w:type="dxa"/>
            <w:right w:w="108" w:type="dxa"/>
          </w:tblCellMar>
        </w:tblPrEx>
        <w:trPr>
          <w:trHeight w:val="795" w:hRule="atLeast"/>
          <w:jc w:val="center"/>
        </w:trPr>
        <w:tc>
          <w:tcPr>
            <w:tcW w:w="5122" w:type="dxa"/>
            <w:tcBorders>
              <w:top w:val="nil"/>
              <w:left w:val="single" w:color="auto" w:sz="4" w:space="0"/>
              <w:bottom w:val="single" w:color="auto" w:sz="4" w:space="0"/>
              <w:right w:val="single" w:color="auto" w:sz="4" w:space="0"/>
            </w:tcBorders>
            <w:shd w:val="clear" w:color="auto" w:fill="auto"/>
            <w:vAlign w:val="center"/>
          </w:tcPr>
          <w:p w14:paraId="31F82012">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三</w:t>
            </w:r>
            <w:r>
              <w:rPr>
                <w:rFonts w:hint="eastAsia" w:ascii="宋体" w:hAnsi="宋体" w:eastAsia="宋体" w:cs="宋体"/>
                <w:kern w:val="0"/>
                <w:sz w:val="24"/>
                <w:szCs w:val="24"/>
                <w:highlight w:val="none"/>
              </w:rPr>
              <w:t>、202</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年政府一般债务接受转贷额</w:t>
            </w:r>
          </w:p>
        </w:tc>
        <w:tc>
          <w:tcPr>
            <w:tcW w:w="3828" w:type="dxa"/>
            <w:tcBorders>
              <w:top w:val="nil"/>
              <w:left w:val="nil"/>
              <w:bottom w:val="single" w:color="auto" w:sz="4" w:space="0"/>
              <w:right w:val="single" w:color="auto" w:sz="4" w:space="0"/>
            </w:tcBorders>
            <w:shd w:val="clear" w:color="auto" w:fill="auto"/>
            <w:vAlign w:val="center"/>
          </w:tcPr>
          <w:p w14:paraId="53377571">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28600</w:t>
            </w:r>
          </w:p>
        </w:tc>
      </w:tr>
      <w:tr w14:paraId="77026E87">
        <w:tblPrEx>
          <w:tblCellMar>
            <w:top w:w="0" w:type="dxa"/>
            <w:left w:w="108" w:type="dxa"/>
            <w:bottom w:w="0" w:type="dxa"/>
            <w:right w:w="108" w:type="dxa"/>
          </w:tblCellMar>
        </w:tblPrEx>
        <w:trPr>
          <w:trHeight w:val="795" w:hRule="atLeast"/>
          <w:jc w:val="center"/>
        </w:trPr>
        <w:tc>
          <w:tcPr>
            <w:tcW w:w="5122" w:type="dxa"/>
            <w:tcBorders>
              <w:top w:val="nil"/>
              <w:left w:val="single" w:color="auto" w:sz="4" w:space="0"/>
              <w:bottom w:val="single" w:color="auto" w:sz="4" w:space="0"/>
              <w:right w:val="single" w:color="auto" w:sz="4" w:space="0"/>
            </w:tcBorders>
            <w:shd w:val="clear" w:color="auto" w:fill="auto"/>
            <w:vAlign w:val="center"/>
          </w:tcPr>
          <w:p w14:paraId="05D19279">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四</w:t>
            </w:r>
            <w:r>
              <w:rPr>
                <w:rFonts w:hint="eastAsia" w:ascii="宋体" w:hAnsi="宋体" w:eastAsia="宋体" w:cs="宋体"/>
                <w:kern w:val="0"/>
                <w:sz w:val="24"/>
                <w:szCs w:val="24"/>
                <w:highlight w:val="none"/>
              </w:rPr>
              <w:t>、202</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年政府一般债务还本额</w:t>
            </w:r>
          </w:p>
        </w:tc>
        <w:tc>
          <w:tcPr>
            <w:tcW w:w="3828" w:type="dxa"/>
            <w:tcBorders>
              <w:top w:val="nil"/>
              <w:left w:val="nil"/>
              <w:bottom w:val="single" w:color="auto" w:sz="4" w:space="0"/>
              <w:right w:val="single" w:color="auto" w:sz="4" w:space="0"/>
            </w:tcBorders>
            <w:shd w:val="clear" w:color="auto" w:fill="auto"/>
            <w:vAlign w:val="center"/>
          </w:tcPr>
          <w:p w14:paraId="6B760CE6">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31751</w:t>
            </w:r>
          </w:p>
        </w:tc>
      </w:tr>
      <w:tr w14:paraId="1BB8169B">
        <w:tblPrEx>
          <w:tblCellMar>
            <w:top w:w="0" w:type="dxa"/>
            <w:left w:w="108" w:type="dxa"/>
            <w:bottom w:w="0" w:type="dxa"/>
            <w:right w:w="108" w:type="dxa"/>
          </w:tblCellMar>
        </w:tblPrEx>
        <w:trPr>
          <w:trHeight w:val="795" w:hRule="atLeast"/>
          <w:jc w:val="center"/>
        </w:trPr>
        <w:tc>
          <w:tcPr>
            <w:tcW w:w="5122" w:type="dxa"/>
            <w:tcBorders>
              <w:top w:val="nil"/>
              <w:left w:val="single" w:color="auto" w:sz="4" w:space="0"/>
              <w:bottom w:val="single" w:color="auto" w:sz="4" w:space="0"/>
              <w:right w:val="single" w:color="auto" w:sz="4" w:space="0"/>
            </w:tcBorders>
            <w:shd w:val="clear" w:color="auto" w:fill="auto"/>
            <w:vAlign w:val="center"/>
          </w:tcPr>
          <w:p w14:paraId="197907B2">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五</w:t>
            </w:r>
            <w:r>
              <w:rPr>
                <w:rFonts w:hint="eastAsia" w:ascii="宋体" w:hAnsi="宋体" w:eastAsia="宋体" w:cs="宋体"/>
                <w:kern w:val="0"/>
                <w:sz w:val="24"/>
                <w:szCs w:val="24"/>
                <w:highlight w:val="none"/>
              </w:rPr>
              <w:t>、202</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年末政府一般债务余额执行数</w:t>
            </w:r>
          </w:p>
        </w:tc>
        <w:tc>
          <w:tcPr>
            <w:tcW w:w="3828" w:type="dxa"/>
            <w:tcBorders>
              <w:top w:val="nil"/>
              <w:left w:val="nil"/>
              <w:bottom w:val="single" w:color="auto" w:sz="4" w:space="0"/>
              <w:right w:val="single" w:color="auto" w:sz="4" w:space="0"/>
            </w:tcBorders>
            <w:shd w:val="clear" w:color="auto" w:fill="auto"/>
            <w:vAlign w:val="center"/>
          </w:tcPr>
          <w:p w14:paraId="7F60C718">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170353</w:t>
            </w:r>
          </w:p>
        </w:tc>
      </w:tr>
      <w:bookmarkEnd w:id="12"/>
    </w:tbl>
    <w:p w14:paraId="7AAF22E6">
      <w:pPr>
        <w:rPr>
          <w:rFonts w:hint="eastAsia" w:ascii="黑体" w:hAnsi="黑体" w:eastAsia="黑体" w:cs="黑体"/>
          <w:sz w:val="32"/>
          <w:szCs w:val="32"/>
        </w:rPr>
      </w:pPr>
      <w:r>
        <w:rPr>
          <w:rFonts w:hint="eastAsia" w:ascii="黑体" w:hAnsi="黑体" w:eastAsia="黑体" w:cs="黑体"/>
          <w:sz w:val="32"/>
          <w:szCs w:val="32"/>
        </w:rPr>
        <w:br w:type="page"/>
      </w:r>
    </w:p>
    <w:tbl>
      <w:tblPr>
        <w:tblStyle w:val="20"/>
        <w:tblW w:w="8977" w:type="dxa"/>
        <w:jc w:val="center"/>
        <w:tblLayout w:type="fixed"/>
        <w:tblCellMar>
          <w:top w:w="0" w:type="dxa"/>
          <w:left w:w="0" w:type="dxa"/>
          <w:bottom w:w="0" w:type="dxa"/>
          <w:right w:w="0" w:type="dxa"/>
        </w:tblCellMar>
      </w:tblPr>
      <w:tblGrid>
        <w:gridCol w:w="3334"/>
        <w:gridCol w:w="1146"/>
        <w:gridCol w:w="3284"/>
        <w:gridCol w:w="1213"/>
      </w:tblGrid>
      <w:tr w14:paraId="30451132">
        <w:tblPrEx>
          <w:tblCellMar>
            <w:top w:w="0" w:type="dxa"/>
            <w:left w:w="0" w:type="dxa"/>
            <w:bottom w:w="0" w:type="dxa"/>
            <w:right w:w="0" w:type="dxa"/>
          </w:tblCellMar>
        </w:tblPrEx>
        <w:trPr>
          <w:trHeight w:val="695" w:hRule="atLeast"/>
          <w:jc w:val="center"/>
        </w:trPr>
        <w:tc>
          <w:tcPr>
            <w:tcW w:w="3334" w:type="dxa"/>
            <w:tcBorders>
              <w:top w:val="nil"/>
              <w:left w:val="nil"/>
              <w:bottom w:val="nil"/>
              <w:right w:val="nil"/>
            </w:tcBorders>
            <w:shd w:val="clear" w:color="auto" w:fill="auto"/>
            <w:tcMar>
              <w:top w:w="19" w:type="dxa"/>
              <w:left w:w="19" w:type="dxa"/>
              <w:bottom w:w="0" w:type="dxa"/>
              <w:right w:w="19" w:type="dxa"/>
            </w:tcMar>
            <w:vAlign w:val="center"/>
          </w:tcPr>
          <w:p w14:paraId="1FF2C947">
            <w:pPr>
              <w:rPr>
                <w:rFonts w:hint="eastAsia" w:ascii="宋体" w:hAnsi="宋体" w:eastAsia="黑体" w:cs="宋体"/>
                <w:sz w:val="24"/>
                <w:szCs w:val="24"/>
                <w:lang w:eastAsia="zh-CN"/>
              </w:rPr>
            </w:pPr>
            <w:r>
              <w:rPr>
                <w:rFonts w:hint="eastAsia" w:ascii="黑体" w:hAnsi="黑体" w:eastAsia="黑体" w:cs="黑体"/>
                <w:sz w:val="32"/>
                <w:szCs w:val="32"/>
              </w:rPr>
              <w:t>表十</w:t>
            </w:r>
            <w:r>
              <w:rPr>
                <w:rFonts w:hint="eastAsia" w:ascii="黑体" w:hAnsi="黑体" w:eastAsia="黑体" w:cs="黑体"/>
                <w:sz w:val="32"/>
                <w:szCs w:val="32"/>
                <w:lang w:val="en-US" w:eastAsia="zh-CN"/>
              </w:rPr>
              <w:t>三</w:t>
            </w:r>
          </w:p>
        </w:tc>
        <w:tc>
          <w:tcPr>
            <w:tcW w:w="1146" w:type="dxa"/>
            <w:tcBorders>
              <w:top w:val="nil"/>
              <w:left w:val="nil"/>
              <w:bottom w:val="nil"/>
              <w:right w:val="nil"/>
            </w:tcBorders>
            <w:shd w:val="clear" w:color="auto" w:fill="auto"/>
            <w:tcMar>
              <w:top w:w="19" w:type="dxa"/>
              <w:left w:w="19" w:type="dxa"/>
              <w:bottom w:w="0" w:type="dxa"/>
              <w:right w:w="19" w:type="dxa"/>
            </w:tcMar>
            <w:vAlign w:val="center"/>
          </w:tcPr>
          <w:p w14:paraId="6FDBF6F0">
            <w:pPr>
              <w:jc w:val="center"/>
              <w:rPr>
                <w:rFonts w:hint="eastAsia" w:ascii="宋体" w:hAnsi="宋体" w:eastAsia="宋体" w:cs="宋体"/>
                <w:color w:val="000000"/>
                <w:sz w:val="24"/>
                <w:szCs w:val="24"/>
              </w:rPr>
            </w:pPr>
          </w:p>
        </w:tc>
        <w:tc>
          <w:tcPr>
            <w:tcW w:w="3284" w:type="dxa"/>
            <w:tcBorders>
              <w:top w:val="nil"/>
              <w:left w:val="nil"/>
              <w:bottom w:val="nil"/>
              <w:right w:val="nil"/>
            </w:tcBorders>
            <w:shd w:val="clear" w:color="auto" w:fill="auto"/>
            <w:tcMar>
              <w:top w:w="19" w:type="dxa"/>
              <w:left w:w="19" w:type="dxa"/>
              <w:bottom w:w="0" w:type="dxa"/>
              <w:right w:w="19" w:type="dxa"/>
            </w:tcMar>
            <w:vAlign w:val="center"/>
          </w:tcPr>
          <w:p w14:paraId="01D142B8">
            <w:pPr>
              <w:jc w:val="center"/>
              <w:rPr>
                <w:rFonts w:hint="eastAsia" w:ascii="宋体" w:hAnsi="宋体" w:eastAsia="宋体" w:cs="宋体"/>
                <w:color w:val="000000"/>
                <w:sz w:val="24"/>
                <w:szCs w:val="24"/>
              </w:rPr>
            </w:pPr>
          </w:p>
        </w:tc>
        <w:tc>
          <w:tcPr>
            <w:tcW w:w="1213" w:type="dxa"/>
            <w:tcBorders>
              <w:top w:val="nil"/>
              <w:left w:val="nil"/>
              <w:bottom w:val="nil"/>
              <w:right w:val="nil"/>
            </w:tcBorders>
            <w:shd w:val="clear" w:color="auto" w:fill="auto"/>
            <w:tcMar>
              <w:top w:w="19" w:type="dxa"/>
              <w:left w:w="19" w:type="dxa"/>
              <w:bottom w:w="0" w:type="dxa"/>
              <w:right w:w="19" w:type="dxa"/>
            </w:tcMar>
            <w:vAlign w:val="center"/>
          </w:tcPr>
          <w:p w14:paraId="02A6E40C">
            <w:pPr>
              <w:jc w:val="center"/>
              <w:rPr>
                <w:rFonts w:hint="eastAsia" w:ascii="宋体" w:hAnsi="宋体" w:eastAsia="宋体" w:cs="宋体"/>
                <w:color w:val="000000"/>
                <w:sz w:val="24"/>
                <w:szCs w:val="24"/>
              </w:rPr>
            </w:pPr>
          </w:p>
        </w:tc>
      </w:tr>
      <w:tr w14:paraId="2B8483C5">
        <w:tblPrEx>
          <w:tblCellMar>
            <w:top w:w="0" w:type="dxa"/>
            <w:left w:w="0" w:type="dxa"/>
            <w:bottom w:w="0" w:type="dxa"/>
            <w:right w:w="0" w:type="dxa"/>
          </w:tblCellMar>
        </w:tblPrEx>
        <w:trPr>
          <w:trHeight w:val="1188" w:hRule="atLeast"/>
          <w:jc w:val="center"/>
        </w:trPr>
        <w:tc>
          <w:tcPr>
            <w:tcW w:w="8977" w:type="dxa"/>
            <w:gridSpan w:val="4"/>
            <w:tcBorders>
              <w:top w:val="nil"/>
              <w:left w:val="nil"/>
              <w:bottom w:val="nil"/>
              <w:right w:val="nil"/>
            </w:tcBorders>
            <w:shd w:val="clear" w:color="auto" w:fill="auto"/>
            <w:tcMar>
              <w:top w:w="19" w:type="dxa"/>
              <w:left w:w="19" w:type="dxa"/>
              <w:bottom w:w="0" w:type="dxa"/>
              <w:right w:w="19" w:type="dxa"/>
            </w:tcMar>
            <w:vAlign w:val="center"/>
          </w:tcPr>
          <w:p w14:paraId="51264D12">
            <w:pPr>
              <w:pStyle w:val="48"/>
              <w:rPr>
                <w:rFonts w:hint="eastAsia" w:ascii="宋体" w:hAnsi="宋体" w:eastAsia="宋体" w:cs="宋体"/>
                <w:sz w:val="24"/>
                <w:szCs w:val="24"/>
                <w:highlight w:val="none"/>
              </w:rPr>
            </w:pPr>
            <w:r>
              <w:rPr>
                <w:rFonts w:hint="eastAsia" w:hAnsi="方正小标宋简体" w:cs="方正小标宋简体"/>
                <w:sz w:val="44"/>
                <w:szCs w:val="44"/>
                <w:highlight w:val="none"/>
                <w:lang w:val="en-US" w:eastAsia="zh-CN"/>
              </w:rPr>
              <w:t>2026</w:t>
            </w:r>
            <w:r>
              <w:rPr>
                <w:rFonts w:hint="eastAsia" w:ascii="方正小标宋简体" w:hAnsi="方正小标宋简体" w:eastAsia="方正小标宋简体" w:cs="方正小标宋简体"/>
                <w:sz w:val="44"/>
                <w:szCs w:val="44"/>
                <w:highlight w:val="none"/>
              </w:rPr>
              <w:t>年政府性基金收支预算总表</w:t>
            </w:r>
          </w:p>
        </w:tc>
      </w:tr>
      <w:tr w14:paraId="3B3D9A93">
        <w:tblPrEx>
          <w:tblCellMar>
            <w:top w:w="0" w:type="dxa"/>
            <w:left w:w="0" w:type="dxa"/>
            <w:bottom w:w="0" w:type="dxa"/>
            <w:right w:w="0" w:type="dxa"/>
          </w:tblCellMar>
        </w:tblPrEx>
        <w:trPr>
          <w:trHeight w:val="474" w:hRule="atLeast"/>
          <w:jc w:val="center"/>
        </w:trPr>
        <w:tc>
          <w:tcPr>
            <w:tcW w:w="3334" w:type="dxa"/>
            <w:tcBorders>
              <w:top w:val="nil"/>
              <w:left w:val="nil"/>
              <w:bottom w:val="nil"/>
              <w:right w:val="nil"/>
            </w:tcBorders>
            <w:shd w:val="clear" w:color="auto" w:fill="auto"/>
            <w:tcMar>
              <w:top w:w="19" w:type="dxa"/>
              <w:left w:w="19" w:type="dxa"/>
              <w:bottom w:w="0" w:type="dxa"/>
              <w:right w:w="19" w:type="dxa"/>
            </w:tcMar>
            <w:vAlign w:val="center"/>
          </w:tcPr>
          <w:p w14:paraId="0D545A92">
            <w:pPr>
              <w:rPr>
                <w:rFonts w:hint="eastAsia" w:ascii="宋体" w:hAnsi="宋体" w:eastAsia="宋体" w:cs="宋体"/>
                <w:sz w:val="24"/>
                <w:szCs w:val="24"/>
                <w:highlight w:val="none"/>
              </w:rPr>
            </w:pPr>
          </w:p>
        </w:tc>
        <w:tc>
          <w:tcPr>
            <w:tcW w:w="1146" w:type="dxa"/>
            <w:tcBorders>
              <w:top w:val="nil"/>
              <w:left w:val="nil"/>
              <w:bottom w:val="nil"/>
              <w:right w:val="nil"/>
            </w:tcBorders>
            <w:shd w:val="clear" w:color="auto" w:fill="auto"/>
            <w:tcMar>
              <w:top w:w="19" w:type="dxa"/>
              <w:left w:w="19" w:type="dxa"/>
              <w:bottom w:w="0" w:type="dxa"/>
              <w:right w:w="19" w:type="dxa"/>
            </w:tcMar>
            <w:vAlign w:val="center"/>
          </w:tcPr>
          <w:p w14:paraId="43FC81FE">
            <w:pPr>
              <w:jc w:val="center"/>
              <w:rPr>
                <w:rFonts w:hint="eastAsia" w:ascii="宋体" w:hAnsi="宋体" w:eastAsia="宋体" w:cs="宋体"/>
                <w:sz w:val="24"/>
                <w:szCs w:val="24"/>
                <w:highlight w:val="none"/>
              </w:rPr>
            </w:pPr>
          </w:p>
        </w:tc>
        <w:tc>
          <w:tcPr>
            <w:tcW w:w="3284" w:type="dxa"/>
            <w:tcBorders>
              <w:top w:val="nil"/>
              <w:left w:val="nil"/>
              <w:bottom w:val="nil"/>
              <w:right w:val="nil"/>
            </w:tcBorders>
            <w:shd w:val="clear" w:color="auto" w:fill="auto"/>
            <w:tcMar>
              <w:top w:w="19" w:type="dxa"/>
              <w:left w:w="19" w:type="dxa"/>
              <w:bottom w:w="0" w:type="dxa"/>
              <w:right w:w="19" w:type="dxa"/>
            </w:tcMar>
            <w:vAlign w:val="center"/>
          </w:tcPr>
          <w:p w14:paraId="2F72170B">
            <w:pPr>
              <w:jc w:val="center"/>
              <w:rPr>
                <w:rFonts w:hint="eastAsia" w:ascii="宋体" w:hAnsi="宋体" w:eastAsia="宋体" w:cs="宋体"/>
                <w:sz w:val="24"/>
                <w:szCs w:val="24"/>
                <w:highlight w:val="none"/>
              </w:rPr>
            </w:pPr>
          </w:p>
        </w:tc>
        <w:tc>
          <w:tcPr>
            <w:tcW w:w="1213" w:type="dxa"/>
            <w:tcBorders>
              <w:top w:val="nil"/>
              <w:left w:val="nil"/>
              <w:bottom w:val="nil"/>
              <w:right w:val="nil"/>
            </w:tcBorders>
            <w:shd w:val="clear" w:color="auto" w:fill="auto"/>
            <w:tcMar>
              <w:top w:w="19" w:type="dxa"/>
              <w:left w:w="19" w:type="dxa"/>
              <w:bottom w:w="0" w:type="dxa"/>
              <w:right w:w="19" w:type="dxa"/>
            </w:tcMar>
            <w:vAlign w:val="center"/>
          </w:tcPr>
          <w:p w14:paraId="5BE0A14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单位</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万元</w:t>
            </w:r>
          </w:p>
        </w:tc>
      </w:tr>
      <w:tr w14:paraId="6BC594C2">
        <w:tblPrEx>
          <w:tblCellMar>
            <w:top w:w="0" w:type="dxa"/>
            <w:left w:w="0" w:type="dxa"/>
            <w:bottom w:w="0" w:type="dxa"/>
            <w:right w:w="0" w:type="dxa"/>
          </w:tblCellMar>
        </w:tblPrEx>
        <w:trPr>
          <w:trHeight w:val="729" w:hRule="atLeast"/>
          <w:jc w:val="center"/>
        </w:trPr>
        <w:tc>
          <w:tcPr>
            <w:tcW w:w="3334"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7621F32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预算科目</w:t>
            </w:r>
          </w:p>
        </w:tc>
        <w:tc>
          <w:tcPr>
            <w:tcW w:w="1146" w:type="dxa"/>
            <w:tcBorders>
              <w:top w:val="single" w:color="auto" w:sz="4" w:space="0"/>
              <w:left w:val="nil"/>
              <w:bottom w:val="single" w:color="auto" w:sz="4" w:space="0"/>
              <w:right w:val="single" w:color="auto" w:sz="4" w:space="0"/>
            </w:tcBorders>
            <w:shd w:val="clear" w:color="auto" w:fill="auto"/>
            <w:tcMar>
              <w:top w:w="19" w:type="dxa"/>
              <w:left w:w="19" w:type="dxa"/>
              <w:bottom w:w="0" w:type="dxa"/>
              <w:right w:w="19" w:type="dxa"/>
            </w:tcMar>
            <w:vAlign w:val="center"/>
          </w:tcPr>
          <w:p w14:paraId="187A5A0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收入</w:t>
            </w:r>
          </w:p>
          <w:p w14:paraId="34960553">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预算数</w:t>
            </w:r>
          </w:p>
        </w:tc>
        <w:tc>
          <w:tcPr>
            <w:tcW w:w="3284" w:type="dxa"/>
            <w:tcBorders>
              <w:top w:val="single" w:color="auto" w:sz="4" w:space="0"/>
              <w:left w:val="nil"/>
              <w:bottom w:val="single" w:color="auto" w:sz="4" w:space="0"/>
              <w:right w:val="single" w:color="auto" w:sz="4" w:space="0"/>
            </w:tcBorders>
            <w:shd w:val="clear" w:color="auto" w:fill="auto"/>
            <w:tcMar>
              <w:top w:w="19" w:type="dxa"/>
              <w:left w:w="19" w:type="dxa"/>
              <w:bottom w:w="0" w:type="dxa"/>
              <w:right w:w="19" w:type="dxa"/>
            </w:tcMar>
            <w:vAlign w:val="center"/>
          </w:tcPr>
          <w:p w14:paraId="6F489AC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预算科目</w:t>
            </w:r>
          </w:p>
        </w:tc>
        <w:tc>
          <w:tcPr>
            <w:tcW w:w="1213" w:type="dxa"/>
            <w:tcBorders>
              <w:top w:val="single" w:color="auto" w:sz="4" w:space="0"/>
              <w:left w:val="nil"/>
              <w:bottom w:val="single" w:color="auto" w:sz="4" w:space="0"/>
              <w:right w:val="single" w:color="auto" w:sz="4" w:space="0"/>
            </w:tcBorders>
            <w:shd w:val="clear" w:color="auto" w:fill="auto"/>
            <w:tcMar>
              <w:top w:w="19" w:type="dxa"/>
              <w:left w:w="19" w:type="dxa"/>
              <w:bottom w:w="0" w:type="dxa"/>
              <w:right w:w="19" w:type="dxa"/>
            </w:tcMar>
            <w:vAlign w:val="center"/>
          </w:tcPr>
          <w:p w14:paraId="24604B1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支出</w:t>
            </w:r>
          </w:p>
          <w:p w14:paraId="140E0D8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预算数</w:t>
            </w:r>
          </w:p>
        </w:tc>
      </w:tr>
      <w:tr w14:paraId="1DA3CAD6">
        <w:tblPrEx>
          <w:tblCellMar>
            <w:top w:w="0" w:type="dxa"/>
            <w:left w:w="0" w:type="dxa"/>
            <w:bottom w:w="0" w:type="dxa"/>
            <w:right w:w="0" w:type="dxa"/>
          </w:tblCellMar>
        </w:tblPrEx>
        <w:trPr>
          <w:trHeight w:val="718" w:hRule="atLeast"/>
          <w:jc w:val="center"/>
        </w:trPr>
        <w:tc>
          <w:tcPr>
            <w:tcW w:w="3334" w:type="dxa"/>
            <w:tcBorders>
              <w:top w:val="nil"/>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531F8341">
            <w:pPr>
              <w:rPr>
                <w:rFonts w:hint="eastAsia" w:ascii="宋体" w:hAnsi="宋体" w:eastAsia="宋体" w:cs="宋体"/>
                <w:sz w:val="24"/>
                <w:szCs w:val="24"/>
                <w:highlight w:val="none"/>
              </w:rPr>
            </w:pPr>
            <w:r>
              <w:rPr>
                <w:rFonts w:hint="eastAsia" w:ascii="宋体" w:hAnsi="宋体" w:eastAsia="宋体" w:cs="宋体"/>
                <w:sz w:val="24"/>
                <w:szCs w:val="24"/>
                <w:highlight w:val="none"/>
              </w:rPr>
              <w:t>一、县本级政府性基金收入</w:t>
            </w:r>
          </w:p>
        </w:tc>
        <w:tc>
          <w:tcPr>
            <w:tcW w:w="1146" w:type="dxa"/>
            <w:tcBorders>
              <w:top w:val="nil"/>
              <w:left w:val="nil"/>
              <w:bottom w:val="single" w:color="auto" w:sz="4" w:space="0"/>
              <w:right w:val="single" w:color="auto" w:sz="4" w:space="0"/>
            </w:tcBorders>
            <w:shd w:val="clear" w:color="auto" w:fill="auto"/>
            <w:tcMar>
              <w:top w:w="19" w:type="dxa"/>
              <w:left w:w="19" w:type="dxa"/>
              <w:bottom w:w="0" w:type="dxa"/>
              <w:right w:w="19" w:type="dxa"/>
            </w:tcMar>
            <w:vAlign w:val="center"/>
          </w:tcPr>
          <w:p w14:paraId="3C7EA225">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117650</w:t>
            </w:r>
          </w:p>
        </w:tc>
        <w:tc>
          <w:tcPr>
            <w:tcW w:w="3284" w:type="dxa"/>
            <w:tcBorders>
              <w:top w:val="nil"/>
              <w:left w:val="nil"/>
              <w:bottom w:val="single" w:color="auto" w:sz="4" w:space="0"/>
              <w:right w:val="single" w:color="auto" w:sz="4" w:space="0"/>
            </w:tcBorders>
            <w:shd w:val="clear" w:color="auto" w:fill="auto"/>
            <w:tcMar>
              <w:top w:w="19" w:type="dxa"/>
              <w:left w:w="19" w:type="dxa"/>
              <w:bottom w:w="0" w:type="dxa"/>
              <w:right w:w="19" w:type="dxa"/>
            </w:tcMar>
            <w:vAlign w:val="center"/>
          </w:tcPr>
          <w:p w14:paraId="6CF1DCDA">
            <w:pPr>
              <w:rPr>
                <w:rFonts w:hint="eastAsia" w:ascii="宋体" w:hAnsi="宋体" w:eastAsia="宋体" w:cs="宋体"/>
                <w:sz w:val="24"/>
                <w:szCs w:val="24"/>
                <w:highlight w:val="none"/>
              </w:rPr>
            </w:pPr>
            <w:r>
              <w:rPr>
                <w:rFonts w:hint="eastAsia" w:ascii="宋体" w:hAnsi="宋体" w:eastAsia="宋体" w:cs="宋体"/>
                <w:sz w:val="24"/>
                <w:szCs w:val="24"/>
                <w:highlight w:val="none"/>
              </w:rPr>
              <w:t>一、县本级政府性基金支出</w:t>
            </w:r>
          </w:p>
        </w:tc>
        <w:tc>
          <w:tcPr>
            <w:tcW w:w="1213" w:type="dxa"/>
            <w:tcBorders>
              <w:top w:val="nil"/>
              <w:left w:val="nil"/>
              <w:bottom w:val="single" w:color="auto" w:sz="4" w:space="0"/>
              <w:right w:val="single" w:color="auto" w:sz="4" w:space="0"/>
            </w:tcBorders>
            <w:shd w:val="clear" w:color="auto" w:fill="auto"/>
            <w:tcMar>
              <w:top w:w="19" w:type="dxa"/>
              <w:left w:w="19" w:type="dxa"/>
              <w:bottom w:w="0" w:type="dxa"/>
              <w:right w:w="19" w:type="dxa"/>
            </w:tcMar>
            <w:vAlign w:val="center"/>
          </w:tcPr>
          <w:p w14:paraId="758E173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195625</w:t>
            </w:r>
          </w:p>
        </w:tc>
      </w:tr>
      <w:tr w14:paraId="14BB7365">
        <w:tblPrEx>
          <w:tblCellMar>
            <w:top w:w="0" w:type="dxa"/>
            <w:left w:w="0" w:type="dxa"/>
            <w:bottom w:w="0" w:type="dxa"/>
            <w:right w:w="0" w:type="dxa"/>
          </w:tblCellMar>
        </w:tblPrEx>
        <w:trPr>
          <w:trHeight w:val="718" w:hRule="atLeast"/>
          <w:jc w:val="center"/>
        </w:trPr>
        <w:tc>
          <w:tcPr>
            <w:tcW w:w="3334" w:type="dxa"/>
            <w:tcBorders>
              <w:top w:val="nil"/>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2824519E">
            <w:pP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二、</w:t>
            </w:r>
            <w:r>
              <w:rPr>
                <w:rFonts w:hint="eastAsia" w:ascii="宋体" w:hAnsi="宋体" w:eastAsia="宋体" w:cs="宋体"/>
                <w:sz w:val="24"/>
                <w:szCs w:val="24"/>
                <w:highlight w:val="none"/>
                <w:lang w:val="en-US" w:eastAsia="zh-CN"/>
              </w:rPr>
              <w:t>上级补助收入</w:t>
            </w:r>
          </w:p>
        </w:tc>
        <w:tc>
          <w:tcPr>
            <w:tcW w:w="1146" w:type="dxa"/>
            <w:tcBorders>
              <w:top w:val="nil"/>
              <w:left w:val="nil"/>
              <w:bottom w:val="single" w:color="auto" w:sz="4" w:space="0"/>
              <w:right w:val="single" w:color="auto" w:sz="4" w:space="0"/>
            </w:tcBorders>
            <w:shd w:val="clear" w:color="auto" w:fill="auto"/>
            <w:tcMar>
              <w:top w:w="19" w:type="dxa"/>
              <w:left w:w="19" w:type="dxa"/>
              <w:bottom w:w="0" w:type="dxa"/>
              <w:right w:w="19" w:type="dxa"/>
            </w:tcMar>
            <w:vAlign w:val="center"/>
          </w:tcPr>
          <w:p w14:paraId="6EDC4C60">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1109</w:t>
            </w:r>
          </w:p>
        </w:tc>
        <w:tc>
          <w:tcPr>
            <w:tcW w:w="3284" w:type="dxa"/>
            <w:tcBorders>
              <w:top w:val="nil"/>
              <w:left w:val="nil"/>
              <w:bottom w:val="single" w:color="auto" w:sz="4" w:space="0"/>
              <w:right w:val="single" w:color="auto" w:sz="4" w:space="0"/>
            </w:tcBorders>
            <w:shd w:val="clear" w:color="auto" w:fill="auto"/>
            <w:tcMar>
              <w:top w:w="19" w:type="dxa"/>
              <w:left w:w="19" w:type="dxa"/>
              <w:bottom w:w="0" w:type="dxa"/>
              <w:right w:w="19" w:type="dxa"/>
            </w:tcMar>
            <w:vAlign w:val="center"/>
          </w:tcPr>
          <w:p w14:paraId="5CEEA336">
            <w:pPr>
              <w:rPr>
                <w:rFonts w:hint="eastAsia" w:ascii="宋体" w:hAnsi="宋体" w:eastAsia="宋体" w:cs="宋体"/>
                <w:sz w:val="24"/>
                <w:szCs w:val="24"/>
                <w:highlight w:val="none"/>
              </w:rPr>
            </w:pPr>
            <w:r>
              <w:rPr>
                <w:rFonts w:hint="eastAsia" w:ascii="宋体" w:hAnsi="宋体" w:eastAsia="宋体" w:cs="宋体"/>
                <w:sz w:val="24"/>
                <w:szCs w:val="24"/>
                <w:highlight w:val="none"/>
              </w:rPr>
              <w:t>二、转移性支出</w:t>
            </w:r>
          </w:p>
        </w:tc>
        <w:tc>
          <w:tcPr>
            <w:tcW w:w="1213" w:type="dxa"/>
            <w:tcBorders>
              <w:top w:val="nil"/>
              <w:left w:val="nil"/>
              <w:bottom w:val="single" w:color="auto" w:sz="4" w:space="0"/>
              <w:right w:val="single" w:color="auto" w:sz="4" w:space="0"/>
            </w:tcBorders>
            <w:shd w:val="clear" w:color="auto" w:fill="auto"/>
            <w:tcMar>
              <w:top w:w="19" w:type="dxa"/>
              <w:left w:w="19" w:type="dxa"/>
              <w:bottom w:w="0" w:type="dxa"/>
              <w:right w:w="19" w:type="dxa"/>
            </w:tcMar>
            <w:vAlign w:val="center"/>
          </w:tcPr>
          <w:p w14:paraId="4553452A">
            <w:pPr>
              <w:jc w:val="center"/>
              <w:rPr>
                <w:rFonts w:hint="eastAsia" w:ascii="宋体" w:hAnsi="宋体" w:eastAsia="宋体" w:cs="宋体"/>
                <w:sz w:val="24"/>
                <w:szCs w:val="24"/>
                <w:highlight w:val="none"/>
              </w:rPr>
            </w:pPr>
            <w:r>
              <w:rPr>
                <w:rFonts w:ascii="宋体" w:hAnsi="宋体" w:eastAsia="宋体" w:cs="宋体"/>
                <w:sz w:val="24"/>
                <w:szCs w:val="24"/>
              </w:rPr>
              <w:t>—</w:t>
            </w:r>
          </w:p>
        </w:tc>
      </w:tr>
      <w:tr w14:paraId="15B467DC">
        <w:tblPrEx>
          <w:tblCellMar>
            <w:top w:w="0" w:type="dxa"/>
            <w:left w:w="0" w:type="dxa"/>
            <w:bottom w:w="0" w:type="dxa"/>
            <w:right w:w="0" w:type="dxa"/>
          </w:tblCellMar>
        </w:tblPrEx>
        <w:trPr>
          <w:trHeight w:val="718" w:hRule="atLeast"/>
          <w:jc w:val="center"/>
        </w:trPr>
        <w:tc>
          <w:tcPr>
            <w:tcW w:w="3334" w:type="dxa"/>
            <w:tcBorders>
              <w:top w:val="nil"/>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22BD46B4">
            <w:pPr>
              <w:rPr>
                <w:rFonts w:hint="eastAsia" w:ascii="宋体" w:hAnsi="宋体" w:eastAsia="宋体" w:cs="宋体"/>
                <w:sz w:val="24"/>
                <w:szCs w:val="24"/>
                <w:highlight w:val="none"/>
              </w:rPr>
            </w:pPr>
            <w:r>
              <w:rPr>
                <w:rFonts w:hint="eastAsia" w:ascii="宋体" w:hAnsi="宋体" w:eastAsia="宋体" w:cs="宋体"/>
                <w:sz w:val="24"/>
                <w:szCs w:val="24"/>
                <w:highlight w:val="none"/>
              </w:rPr>
              <w:t>三、下级上解收入</w:t>
            </w:r>
          </w:p>
        </w:tc>
        <w:tc>
          <w:tcPr>
            <w:tcW w:w="1146" w:type="dxa"/>
            <w:tcBorders>
              <w:top w:val="nil"/>
              <w:left w:val="nil"/>
              <w:bottom w:val="single" w:color="auto" w:sz="4" w:space="0"/>
              <w:right w:val="single" w:color="auto" w:sz="4" w:space="0"/>
            </w:tcBorders>
            <w:shd w:val="clear" w:color="auto" w:fill="auto"/>
            <w:tcMar>
              <w:top w:w="19" w:type="dxa"/>
              <w:left w:w="19" w:type="dxa"/>
              <w:bottom w:w="0" w:type="dxa"/>
              <w:right w:w="19" w:type="dxa"/>
            </w:tcMar>
            <w:vAlign w:val="center"/>
          </w:tcPr>
          <w:p w14:paraId="7FFE2B4D">
            <w:pPr>
              <w:jc w:val="center"/>
              <w:rPr>
                <w:rFonts w:hint="eastAsia" w:ascii="宋体" w:hAnsi="宋体" w:eastAsia="宋体" w:cs="宋体"/>
                <w:sz w:val="24"/>
                <w:szCs w:val="24"/>
                <w:highlight w:val="none"/>
              </w:rPr>
            </w:pPr>
            <w:r>
              <w:rPr>
                <w:rFonts w:ascii="宋体" w:hAnsi="宋体" w:eastAsia="宋体" w:cs="宋体"/>
                <w:sz w:val="24"/>
                <w:szCs w:val="24"/>
              </w:rPr>
              <w:t>—</w:t>
            </w:r>
            <w:r>
              <w:rPr>
                <w:rFonts w:hint="eastAsia" w:ascii="宋体" w:hAnsi="宋体" w:eastAsia="宋体" w:cs="宋体"/>
                <w:sz w:val="24"/>
                <w:szCs w:val="24"/>
                <w:highlight w:val="none"/>
              </w:rPr>
              <w:t>　</w:t>
            </w:r>
          </w:p>
        </w:tc>
        <w:tc>
          <w:tcPr>
            <w:tcW w:w="3284" w:type="dxa"/>
            <w:tcBorders>
              <w:top w:val="nil"/>
              <w:left w:val="nil"/>
              <w:bottom w:val="single" w:color="auto" w:sz="4" w:space="0"/>
              <w:right w:val="single" w:color="auto" w:sz="4" w:space="0"/>
            </w:tcBorders>
            <w:shd w:val="clear" w:color="auto" w:fill="auto"/>
            <w:tcMar>
              <w:top w:w="19" w:type="dxa"/>
              <w:left w:w="19" w:type="dxa"/>
              <w:bottom w:w="0" w:type="dxa"/>
              <w:right w:w="19" w:type="dxa"/>
            </w:tcMar>
            <w:vAlign w:val="center"/>
          </w:tcPr>
          <w:p w14:paraId="4C9BBF0E">
            <w:pPr>
              <w:rPr>
                <w:rFonts w:hint="eastAsia" w:ascii="宋体" w:hAnsi="宋体" w:eastAsia="宋体" w:cs="宋体"/>
                <w:sz w:val="24"/>
                <w:szCs w:val="24"/>
                <w:highlight w:val="none"/>
              </w:rPr>
            </w:pPr>
            <w:r>
              <w:rPr>
                <w:rFonts w:hint="eastAsia" w:ascii="宋体" w:hAnsi="宋体" w:eastAsia="宋体" w:cs="宋体"/>
                <w:sz w:val="24"/>
                <w:szCs w:val="24"/>
                <w:highlight w:val="none"/>
              </w:rPr>
              <w:t>三、补助下级支出</w:t>
            </w:r>
          </w:p>
        </w:tc>
        <w:tc>
          <w:tcPr>
            <w:tcW w:w="1213" w:type="dxa"/>
            <w:tcBorders>
              <w:top w:val="nil"/>
              <w:left w:val="nil"/>
              <w:bottom w:val="single" w:color="auto" w:sz="4" w:space="0"/>
              <w:right w:val="single" w:color="auto" w:sz="4" w:space="0"/>
            </w:tcBorders>
            <w:shd w:val="clear" w:color="auto" w:fill="auto"/>
            <w:tcMar>
              <w:top w:w="19" w:type="dxa"/>
              <w:left w:w="19" w:type="dxa"/>
              <w:bottom w:w="0" w:type="dxa"/>
              <w:right w:w="19" w:type="dxa"/>
            </w:tcMar>
            <w:vAlign w:val="center"/>
          </w:tcPr>
          <w:p w14:paraId="1B771B36">
            <w:pPr>
              <w:jc w:val="center"/>
              <w:rPr>
                <w:rFonts w:hint="eastAsia" w:ascii="宋体" w:hAnsi="宋体" w:eastAsia="宋体" w:cs="宋体"/>
                <w:sz w:val="24"/>
                <w:szCs w:val="24"/>
                <w:highlight w:val="none"/>
              </w:rPr>
            </w:pPr>
            <w:r>
              <w:rPr>
                <w:rFonts w:ascii="宋体" w:hAnsi="宋体" w:eastAsia="宋体" w:cs="宋体"/>
                <w:sz w:val="24"/>
                <w:szCs w:val="24"/>
              </w:rPr>
              <w:t>—</w:t>
            </w:r>
          </w:p>
        </w:tc>
      </w:tr>
      <w:tr w14:paraId="22D16DD3">
        <w:tblPrEx>
          <w:tblCellMar>
            <w:top w:w="0" w:type="dxa"/>
            <w:left w:w="0" w:type="dxa"/>
            <w:bottom w:w="0" w:type="dxa"/>
            <w:right w:w="0" w:type="dxa"/>
          </w:tblCellMar>
        </w:tblPrEx>
        <w:trPr>
          <w:trHeight w:val="718" w:hRule="atLeast"/>
          <w:jc w:val="center"/>
        </w:trPr>
        <w:tc>
          <w:tcPr>
            <w:tcW w:w="3334" w:type="dxa"/>
            <w:tcBorders>
              <w:top w:val="nil"/>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5F406406">
            <w:pPr>
              <w:rPr>
                <w:rFonts w:hint="eastAsia" w:ascii="宋体" w:hAnsi="宋体" w:eastAsia="宋体" w:cs="宋体"/>
                <w:sz w:val="24"/>
                <w:szCs w:val="24"/>
                <w:highlight w:val="none"/>
              </w:rPr>
            </w:pPr>
            <w:r>
              <w:rPr>
                <w:rFonts w:hint="eastAsia" w:ascii="宋体" w:hAnsi="宋体" w:eastAsia="宋体" w:cs="宋体"/>
                <w:sz w:val="24"/>
                <w:szCs w:val="24"/>
                <w:highlight w:val="none"/>
              </w:rPr>
              <w:t>四、上年结余收入</w:t>
            </w:r>
          </w:p>
        </w:tc>
        <w:tc>
          <w:tcPr>
            <w:tcW w:w="1146" w:type="dxa"/>
            <w:tcBorders>
              <w:top w:val="nil"/>
              <w:left w:val="nil"/>
              <w:bottom w:val="single" w:color="auto" w:sz="4" w:space="0"/>
              <w:right w:val="single" w:color="auto" w:sz="4" w:space="0"/>
            </w:tcBorders>
            <w:shd w:val="clear" w:color="auto" w:fill="auto"/>
            <w:tcMar>
              <w:top w:w="19" w:type="dxa"/>
              <w:left w:w="19" w:type="dxa"/>
              <w:bottom w:w="0" w:type="dxa"/>
              <w:right w:w="19" w:type="dxa"/>
            </w:tcMar>
            <w:vAlign w:val="center"/>
          </w:tcPr>
          <w:p w14:paraId="6FA003E5">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76866</w:t>
            </w:r>
          </w:p>
        </w:tc>
        <w:tc>
          <w:tcPr>
            <w:tcW w:w="3284" w:type="dxa"/>
            <w:tcBorders>
              <w:top w:val="nil"/>
              <w:left w:val="nil"/>
              <w:bottom w:val="single" w:color="auto" w:sz="4" w:space="0"/>
              <w:right w:val="single" w:color="auto" w:sz="4" w:space="0"/>
            </w:tcBorders>
            <w:shd w:val="clear" w:color="auto" w:fill="auto"/>
            <w:tcMar>
              <w:top w:w="19" w:type="dxa"/>
              <w:left w:w="19" w:type="dxa"/>
              <w:bottom w:w="0" w:type="dxa"/>
              <w:right w:w="19" w:type="dxa"/>
            </w:tcMar>
            <w:vAlign w:val="center"/>
          </w:tcPr>
          <w:p w14:paraId="7B5BE0A8">
            <w:pPr>
              <w:rPr>
                <w:rFonts w:hint="eastAsia" w:ascii="宋体" w:hAnsi="宋体" w:eastAsia="宋体" w:cs="宋体"/>
                <w:sz w:val="24"/>
                <w:szCs w:val="24"/>
                <w:highlight w:val="none"/>
              </w:rPr>
            </w:pPr>
            <w:r>
              <w:rPr>
                <w:rFonts w:hint="eastAsia" w:ascii="宋体" w:hAnsi="宋体" w:eastAsia="宋体" w:cs="宋体"/>
                <w:sz w:val="24"/>
                <w:szCs w:val="24"/>
                <w:highlight w:val="none"/>
              </w:rPr>
              <w:t>四、年终结余</w:t>
            </w:r>
          </w:p>
        </w:tc>
        <w:tc>
          <w:tcPr>
            <w:tcW w:w="1213" w:type="dxa"/>
            <w:tcBorders>
              <w:top w:val="nil"/>
              <w:left w:val="nil"/>
              <w:bottom w:val="single" w:color="auto" w:sz="4" w:space="0"/>
              <w:right w:val="single" w:color="auto" w:sz="4" w:space="0"/>
            </w:tcBorders>
            <w:shd w:val="clear" w:color="auto" w:fill="auto"/>
            <w:tcMar>
              <w:top w:w="19" w:type="dxa"/>
              <w:left w:w="19" w:type="dxa"/>
              <w:bottom w:w="0" w:type="dxa"/>
              <w:right w:w="19" w:type="dxa"/>
            </w:tcMar>
            <w:vAlign w:val="center"/>
          </w:tcPr>
          <w:p w14:paraId="696DA79C">
            <w:pPr>
              <w:jc w:val="center"/>
              <w:rPr>
                <w:rFonts w:hint="eastAsia" w:ascii="宋体" w:hAnsi="宋体" w:eastAsia="宋体" w:cs="宋体"/>
                <w:sz w:val="24"/>
                <w:szCs w:val="24"/>
                <w:highlight w:val="none"/>
              </w:rPr>
            </w:pPr>
            <w:r>
              <w:rPr>
                <w:rFonts w:ascii="宋体" w:hAnsi="宋体" w:eastAsia="宋体" w:cs="宋体"/>
                <w:sz w:val="24"/>
                <w:szCs w:val="24"/>
              </w:rPr>
              <w:t>—</w:t>
            </w:r>
          </w:p>
        </w:tc>
      </w:tr>
      <w:tr w14:paraId="4152BB95">
        <w:tblPrEx>
          <w:tblCellMar>
            <w:top w:w="0" w:type="dxa"/>
            <w:left w:w="0" w:type="dxa"/>
            <w:bottom w:w="0" w:type="dxa"/>
            <w:right w:w="0" w:type="dxa"/>
          </w:tblCellMar>
        </w:tblPrEx>
        <w:trPr>
          <w:trHeight w:val="718" w:hRule="atLeast"/>
          <w:jc w:val="center"/>
        </w:trPr>
        <w:tc>
          <w:tcPr>
            <w:tcW w:w="3334" w:type="dxa"/>
            <w:tcBorders>
              <w:top w:val="nil"/>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614D61DF">
            <w:pPr>
              <w:rPr>
                <w:rFonts w:hint="eastAsia" w:ascii="宋体" w:hAnsi="宋体" w:eastAsia="宋体" w:cs="宋体"/>
                <w:sz w:val="24"/>
                <w:szCs w:val="24"/>
                <w:highlight w:val="none"/>
              </w:rPr>
            </w:pPr>
            <w:r>
              <w:rPr>
                <w:rFonts w:hint="eastAsia" w:ascii="宋体" w:hAnsi="宋体" w:eastAsia="宋体" w:cs="宋体"/>
                <w:sz w:val="24"/>
                <w:szCs w:val="24"/>
                <w:highlight w:val="none"/>
              </w:rPr>
              <w:t>五、调入资金</w:t>
            </w:r>
          </w:p>
        </w:tc>
        <w:tc>
          <w:tcPr>
            <w:tcW w:w="1146" w:type="dxa"/>
            <w:tcBorders>
              <w:top w:val="nil"/>
              <w:left w:val="nil"/>
              <w:bottom w:val="single" w:color="auto" w:sz="4" w:space="0"/>
              <w:right w:val="single" w:color="auto" w:sz="4" w:space="0"/>
            </w:tcBorders>
            <w:shd w:val="clear" w:color="auto" w:fill="auto"/>
            <w:tcMar>
              <w:top w:w="19" w:type="dxa"/>
              <w:left w:w="19" w:type="dxa"/>
              <w:bottom w:w="0" w:type="dxa"/>
              <w:right w:w="19" w:type="dxa"/>
            </w:tcMar>
            <w:vAlign w:val="center"/>
          </w:tcPr>
          <w:p w14:paraId="6AF6BE84">
            <w:pPr>
              <w:jc w:val="center"/>
              <w:rPr>
                <w:rFonts w:hint="eastAsia" w:ascii="宋体" w:hAnsi="宋体" w:eastAsia="宋体" w:cs="宋体"/>
                <w:sz w:val="24"/>
                <w:szCs w:val="24"/>
                <w:highlight w:val="none"/>
              </w:rPr>
            </w:pPr>
            <w:r>
              <w:rPr>
                <w:rFonts w:ascii="宋体" w:hAnsi="宋体" w:eastAsia="宋体" w:cs="宋体"/>
                <w:sz w:val="24"/>
                <w:szCs w:val="24"/>
              </w:rPr>
              <w:t>—</w:t>
            </w:r>
          </w:p>
        </w:tc>
        <w:tc>
          <w:tcPr>
            <w:tcW w:w="3284" w:type="dxa"/>
            <w:tcBorders>
              <w:top w:val="nil"/>
              <w:left w:val="nil"/>
              <w:bottom w:val="single" w:color="auto" w:sz="4" w:space="0"/>
              <w:right w:val="single" w:color="auto" w:sz="4" w:space="0"/>
            </w:tcBorders>
            <w:shd w:val="clear" w:color="auto" w:fill="auto"/>
            <w:tcMar>
              <w:top w:w="19" w:type="dxa"/>
              <w:left w:w="19" w:type="dxa"/>
              <w:bottom w:w="0" w:type="dxa"/>
              <w:right w:w="19" w:type="dxa"/>
            </w:tcMar>
            <w:vAlign w:val="center"/>
          </w:tcPr>
          <w:p w14:paraId="641FE977">
            <w:pPr>
              <w:rPr>
                <w:rFonts w:hint="eastAsia" w:ascii="宋体" w:hAnsi="宋体" w:eastAsia="宋体" w:cs="宋体"/>
                <w:sz w:val="24"/>
                <w:szCs w:val="24"/>
                <w:highlight w:val="none"/>
              </w:rPr>
            </w:pPr>
            <w:r>
              <w:rPr>
                <w:rFonts w:hint="eastAsia" w:ascii="宋体" w:hAnsi="宋体" w:eastAsia="宋体" w:cs="宋体"/>
                <w:sz w:val="24"/>
                <w:szCs w:val="24"/>
                <w:highlight w:val="none"/>
              </w:rPr>
              <w:t>五、调出资金</w:t>
            </w:r>
          </w:p>
        </w:tc>
        <w:tc>
          <w:tcPr>
            <w:tcW w:w="1213" w:type="dxa"/>
            <w:tcBorders>
              <w:top w:val="nil"/>
              <w:left w:val="nil"/>
              <w:bottom w:val="single" w:color="auto" w:sz="4" w:space="0"/>
              <w:right w:val="single" w:color="auto" w:sz="4" w:space="0"/>
            </w:tcBorders>
            <w:shd w:val="clear" w:color="auto" w:fill="auto"/>
            <w:tcMar>
              <w:top w:w="19" w:type="dxa"/>
              <w:left w:w="19" w:type="dxa"/>
              <w:bottom w:w="0" w:type="dxa"/>
              <w:right w:w="19" w:type="dxa"/>
            </w:tcMar>
            <w:vAlign w:val="center"/>
          </w:tcPr>
          <w:p w14:paraId="0C2F0DD1">
            <w:pPr>
              <w:jc w:val="center"/>
              <w:rPr>
                <w:rFonts w:hint="eastAsia" w:ascii="宋体" w:hAnsi="宋体" w:eastAsia="宋体" w:cs="宋体"/>
                <w:sz w:val="24"/>
                <w:szCs w:val="24"/>
                <w:highlight w:val="none"/>
              </w:rPr>
            </w:pPr>
            <w:r>
              <w:rPr>
                <w:rFonts w:ascii="宋体" w:hAnsi="宋体" w:eastAsia="宋体" w:cs="宋体"/>
                <w:sz w:val="24"/>
                <w:szCs w:val="24"/>
              </w:rPr>
              <w:t>—</w:t>
            </w:r>
          </w:p>
        </w:tc>
      </w:tr>
      <w:tr w14:paraId="09555AA1">
        <w:tblPrEx>
          <w:tblCellMar>
            <w:top w:w="0" w:type="dxa"/>
            <w:left w:w="0" w:type="dxa"/>
            <w:bottom w:w="0" w:type="dxa"/>
            <w:right w:w="0" w:type="dxa"/>
          </w:tblCellMar>
        </w:tblPrEx>
        <w:trPr>
          <w:trHeight w:val="718" w:hRule="atLeast"/>
          <w:jc w:val="center"/>
        </w:trPr>
        <w:tc>
          <w:tcPr>
            <w:tcW w:w="3334" w:type="dxa"/>
            <w:tcBorders>
              <w:top w:val="nil"/>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4C4E3B6F">
            <w:pPr>
              <w:rPr>
                <w:rFonts w:hint="eastAsia" w:ascii="宋体" w:hAnsi="宋体" w:eastAsia="宋体" w:cs="宋体"/>
                <w:sz w:val="24"/>
                <w:szCs w:val="24"/>
                <w:highlight w:val="none"/>
              </w:rPr>
            </w:pPr>
            <w:r>
              <w:rPr>
                <w:rFonts w:hint="eastAsia" w:ascii="宋体" w:hAnsi="宋体" w:eastAsia="宋体" w:cs="宋体"/>
                <w:sz w:val="24"/>
                <w:szCs w:val="24"/>
                <w:highlight w:val="none"/>
              </w:rPr>
              <w:t>六、地方政府专项债务转贷收入</w:t>
            </w:r>
          </w:p>
        </w:tc>
        <w:tc>
          <w:tcPr>
            <w:tcW w:w="1146" w:type="dxa"/>
            <w:tcBorders>
              <w:top w:val="nil"/>
              <w:left w:val="nil"/>
              <w:bottom w:val="single" w:color="auto" w:sz="4" w:space="0"/>
              <w:right w:val="single" w:color="auto" w:sz="4" w:space="0"/>
            </w:tcBorders>
            <w:shd w:val="clear" w:color="auto" w:fill="auto"/>
            <w:tcMar>
              <w:top w:w="19" w:type="dxa"/>
              <w:left w:w="19" w:type="dxa"/>
              <w:bottom w:w="0" w:type="dxa"/>
              <w:right w:w="19" w:type="dxa"/>
            </w:tcMar>
            <w:vAlign w:val="center"/>
          </w:tcPr>
          <w:p w14:paraId="525D9ADC">
            <w:pPr>
              <w:jc w:val="center"/>
              <w:rPr>
                <w:rFonts w:hint="eastAsia" w:ascii="宋体" w:hAnsi="宋体" w:eastAsia="宋体" w:cs="宋体"/>
                <w:sz w:val="24"/>
                <w:szCs w:val="24"/>
                <w:highlight w:val="none"/>
              </w:rPr>
            </w:pPr>
            <w:r>
              <w:rPr>
                <w:rFonts w:ascii="宋体" w:hAnsi="宋体" w:eastAsia="宋体" w:cs="宋体"/>
                <w:sz w:val="24"/>
                <w:szCs w:val="24"/>
              </w:rPr>
              <w:t>—</w:t>
            </w:r>
          </w:p>
        </w:tc>
        <w:tc>
          <w:tcPr>
            <w:tcW w:w="3284" w:type="dxa"/>
            <w:tcBorders>
              <w:top w:val="nil"/>
              <w:left w:val="nil"/>
              <w:bottom w:val="single" w:color="auto" w:sz="4" w:space="0"/>
              <w:right w:val="single" w:color="auto" w:sz="4" w:space="0"/>
            </w:tcBorders>
            <w:shd w:val="clear" w:color="auto" w:fill="auto"/>
            <w:tcMar>
              <w:top w:w="19" w:type="dxa"/>
              <w:left w:w="19" w:type="dxa"/>
              <w:bottom w:w="0" w:type="dxa"/>
              <w:right w:w="19" w:type="dxa"/>
            </w:tcMar>
            <w:vAlign w:val="center"/>
          </w:tcPr>
          <w:p w14:paraId="132A9ECE">
            <w:pPr>
              <w:rPr>
                <w:rFonts w:hint="eastAsia" w:ascii="宋体" w:hAnsi="宋体" w:eastAsia="宋体" w:cs="宋体"/>
                <w:sz w:val="24"/>
                <w:szCs w:val="24"/>
                <w:highlight w:val="none"/>
              </w:rPr>
            </w:pPr>
            <w:r>
              <w:rPr>
                <w:rFonts w:hint="eastAsia" w:ascii="宋体" w:hAnsi="宋体" w:eastAsia="宋体" w:cs="宋体"/>
                <w:sz w:val="24"/>
                <w:szCs w:val="24"/>
                <w:highlight w:val="none"/>
              </w:rPr>
              <w:t>六、地方政府专项债务还本支出</w:t>
            </w:r>
          </w:p>
        </w:tc>
        <w:tc>
          <w:tcPr>
            <w:tcW w:w="1213" w:type="dxa"/>
            <w:tcBorders>
              <w:top w:val="nil"/>
              <w:left w:val="nil"/>
              <w:bottom w:val="single" w:color="auto" w:sz="4" w:space="0"/>
              <w:right w:val="single" w:color="auto" w:sz="4" w:space="0"/>
            </w:tcBorders>
            <w:shd w:val="clear" w:color="auto" w:fill="auto"/>
            <w:tcMar>
              <w:top w:w="19" w:type="dxa"/>
              <w:left w:w="19" w:type="dxa"/>
              <w:bottom w:w="0" w:type="dxa"/>
              <w:right w:w="19" w:type="dxa"/>
            </w:tcMar>
            <w:vAlign w:val="center"/>
          </w:tcPr>
          <w:p w14:paraId="0709FF5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ascii="宋体" w:hAnsi="宋体" w:eastAsia="宋体" w:cs="宋体"/>
                <w:sz w:val="24"/>
                <w:szCs w:val="24"/>
              </w:rPr>
              <w:t>—</w:t>
            </w:r>
          </w:p>
        </w:tc>
      </w:tr>
      <w:tr w14:paraId="6607C007">
        <w:tblPrEx>
          <w:tblCellMar>
            <w:top w:w="0" w:type="dxa"/>
            <w:left w:w="0" w:type="dxa"/>
            <w:bottom w:w="0" w:type="dxa"/>
            <w:right w:w="0" w:type="dxa"/>
          </w:tblCellMar>
        </w:tblPrEx>
        <w:trPr>
          <w:trHeight w:val="718" w:hRule="atLeast"/>
          <w:jc w:val="center"/>
        </w:trPr>
        <w:tc>
          <w:tcPr>
            <w:tcW w:w="3334" w:type="dxa"/>
            <w:tcBorders>
              <w:top w:val="nil"/>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58AEB913">
            <w:pPr>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1146" w:type="dxa"/>
            <w:tcBorders>
              <w:top w:val="nil"/>
              <w:left w:val="nil"/>
              <w:bottom w:val="single" w:color="auto" w:sz="4" w:space="0"/>
              <w:right w:val="single" w:color="auto" w:sz="4" w:space="0"/>
            </w:tcBorders>
            <w:shd w:val="clear" w:color="auto" w:fill="auto"/>
            <w:tcMar>
              <w:top w:w="19" w:type="dxa"/>
              <w:left w:w="19" w:type="dxa"/>
              <w:bottom w:w="0" w:type="dxa"/>
              <w:right w:w="19" w:type="dxa"/>
            </w:tcMar>
            <w:vAlign w:val="center"/>
          </w:tcPr>
          <w:p w14:paraId="3A5E397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3284" w:type="dxa"/>
            <w:tcBorders>
              <w:top w:val="nil"/>
              <w:left w:val="nil"/>
              <w:bottom w:val="single" w:color="auto" w:sz="4" w:space="0"/>
              <w:right w:val="single" w:color="auto" w:sz="4" w:space="0"/>
            </w:tcBorders>
            <w:shd w:val="clear" w:color="auto" w:fill="auto"/>
            <w:tcMar>
              <w:top w:w="19" w:type="dxa"/>
              <w:left w:w="19" w:type="dxa"/>
              <w:bottom w:w="0" w:type="dxa"/>
              <w:right w:w="19" w:type="dxa"/>
            </w:tcMar>
            <w:vAlign w:val="center"/>
          </w:tcPr>
          <w:p w14:paraId="7595ADE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1213" w:type="dxa"/>
            <w:tcBorders>
              <w:top w:val="nil"/>
              <w:left w:val="nil"/>
              <w:bottom w:val="single" w:color="auto" w:sz="4" w:space="0"/>
              <w:right w:val="single" w:color="auto" w:sz="4" w:space="0"/>
            </w:tcBorders>
            <w:shd w:val="clear" w:color="auto" w:fill="auto"/>
            <w:tcMar>
              <w:top w:w="19" w:type="dxa"/>
              <w:left w:w="19" w:type="dxa"/>
              <w:bottom w:w="0" w:type="dxa"/>
              <w:right w:w="19" w:type="dxa"/>
            </w:tcMar>
            <w:vAlign w:val="center"/>
          </w:tcPr>
          <w:p w14:paraId="18CD0812">
            <w:pPr>
              <w:jc w:val="center"/>
              <w:rPr>
                <w:rFonts w:hint="eastAsia" w:ascii="宋体" w:hAnsi="宋体" w:eastAsia="宋体" w:cs="宋体"/>
                <w:sz w:val="24"/>
                <w:szCs w:val="24"/>
                <w:highlight w:val="none"/>
              </w:rPr>
            </w:pPr>
          </w:p>
        </w:tc>
      </w:tr>
      <w:tr w14:paraId="683102F5">
        <w:tblPrEx>
          <w:tblCellMar>
            <w:top w:w="0" w:type="dxa"/>
            <w:left w:w="0" w:type="dxa"/>
            <w:bottom w:w="0" w:type="dxa"/>
            <w:right w:w="0" w:type="dxa"/>
          </w:tblCellMar>
        </w:tblPrEx>
        <w:trPr>
          <w:trHeight w:val="729" w:hRule="atLeast"/>
          <w:jc w:val="center"/>
        </w:trPr>
        <w:tc>
          <w:tcPr>
            <w:tcW w:w="3334" w:type="dxa"/>
            <w:tcBorders>
              <w:top w:val="nil"/>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14:paraId="30723B7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收入总计</w:t>
            </w:r>
          </w:p>
        </w:tc>
        <w:tc>
          <w:tcPr>
            <w:tcW w:w="1146" w:type="dxa"/>
            <w:tcBorders>
              <w:top w:val="nil"/>
              <w:left w:val="nil"/>
              <w:bottom w:val="single" w:color="auto" w:sz="4" w:space="0"/>
              <w:right w:val="single" w:color="auto" w:sz="4" w:space="0"/>
            </w:tcBorders>
            <w:shd w:val="clear" w:color="auto" w:fill="auto"/>
            <w:tcMar>
              <w:top w:w="19" w:type="dxa"/>
              <w:left w:w="19" w:type="dxa"/>
              <w:bottom w:w="0" w:type="dxa"/>
              <w:right w:w="19" w:type="dxa"/>
            </w:tcMar>
            <w:vAlign w:val="center"/>
          </w:tcPr>
          <w:p w14:paraId="3D0BBBE7">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195625</w:t>
            </w:r>
          </w:p>
        </w:tc>
        <w:tc>
          <w:tcPr>
            <w:tcW w:w="3284" w:type="dxa"/>
            <w:tcBorders>
              <w:top w:val="nil"/>
              <w:left w:val="nil"/>
              <w:bottom w:val="single" w:color="auto" w:sz="4" w:space="0"/>
              <w:right w:val="single" w:color="auto" w:sz="4" w:space="0"/>
            </w:tcBorders>
            <w:shd w:val="clear" w:color="auto" w:fill="auto"/>
            <w:tcMar>
              <w:top w:w="19" w:type="dxa"/>
              <w:left w:w="19" w:type="dxa"/>
              <w:bottom w:w="0" w:type="dxa"/>
              <w:right w:w="19" w:type="dxa"/>
            </w:tcMar>
            <w:vAlign w:val="center"/>
          </w:tcPr>
          <w:p w14:paraId="1CE7778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支出总计</w:t>
            </w:r>
          </w:p>
        </w:tc>
        <w:tc>
          <w:tcPr>
            <w:tcW w:w="1213" w:type="dxa"/>
            <w:tcBorders>
              <w:top w:val="nil"/>
              <w:left w:val="nil"/>
              <w:bottom w:val="single" w:color="auto" w:sz="4" w:space="0"/>
              <w:right w:val="single" w:color="auto" w:sz="4" w:space="0"/>
            </w:tcBorders>
            <w:shd w:val="clear" w:color="auto" w:fill="auto"/>
            <w:tcMar>
              <w:top w:w="19" w:type="dxa"/>
              <w:left w:w="19" w:type="dxa"/>
              <w:bottom w:w="0" w:type="dxa"/>
              <w:right w:w="19" w:type="dxa"/>
            </w:tcMar>
            <w:vAlign w:val="center"/>
          </w:tcPr>
          <w:p w14:paraId="5EB870E9">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195625</w:t>
            </w:r>
          </w:p>
        </w:tc>
      </w:tr>
    </w:tbl>
    <w:p w14:paraId="52725409">
      <w:pPr>
        <w:keepNext w:val="0"/>
        <w:keepLines w:val="0"/>
        <w:pageBreakBefore w:val="0"/>
        <w:widowControl w:val="0"/>
        <w:kinsoku/>
        <w:wordWrap/>
        <w:overflowPunct/>
        <w:topLinePunct w:val="0"/>
        <w:bidi w:val="0"/>
        <w:adjustRightInd/>
        <w:snapToGrid/>
        <w:spacing w:line="572" w:lineRule="exact"/>
        <w:jc w:val="both"/>
        <w:textAlignment w:val="auto"/>
        <w:outlineLvl w:val="9"/>
        <w:rPr>
          <w:rFonts w:hint="eastAsia" w:ascii="仿宋_GB2312" w:hAnsi="仿宋_GB2312" w:eastAsia="仿宋_GB2312" w:cs="仿宋_GB2312"/>
          <w:color w:val="auto"/>
          <w:sz w:val="32"/>
          <w:szCs w:val="32"/>
          <w:highlight w:val="none"/>
        </w:rPr>
      </w:pPr>
    </w:p>
    <w:p w14:paraId="7346C992">
      <w:pPr>
        <w:bidi w:val="0"/>
        <w:rPr>
          <w:rFonts w:hint="eastAsia" w:asciiTheme="minorHAnsi" w:hAnsiTheme="minorHAnsi" w:eastAsiaTheme="minorEastAsia" w:cstheme="minorBidi"/>
          <w:kern w:val="2"/>
          <w:sz w:val="21"/>
          <w:szCs w:val="22"/>
          <w:lang w:val="en-US" w:eastAsia="zh-CN" w:bidi="ar-SA"/>
        </w:rPr>
      </w:pPr>
    </w:p>
    <w:p w14:paraId="01DCA565">
      <w:pPr>
        <w:bidi w:val="0"/>
        <w:rPr>
          <w:rFonts w:hint="eastAsia"/>
          <w:lang w:val="en-US" w:eastAsia="zh-CN"/>
        </w:rPr>
      </w:pPr>
    </w:p>
    <w:p w14:paraId="3CA4F54D">
      <w:pPr>
        <w:bidi w:val="0"/>
        <w:rPr>
          <w:rFonts w:hint="eastAsia"/>
          <w:lang w:val="en-US" w:eastAsia="zh-CN"/>
        </w:rPr>
      </w:pPr>
    </w:p>
    <w:p w14:paraId="4C81FE46">
      <w:pPr>
        <w:bidi w:val="0"/>
        <w:rPr>
          <w:rFonts w:hint="eastAsia"/>
          <w:lang w:val="en-US" w:eastAsia="zh-CN"/>
        </w:rPr>
      </w:pPr>
    </w:p>
    <w:p w14:paraId="75E4246C">
      <w:pPr>
        <w:bidi w:val="0"/>
        <w:rPr>
          <w:rFonts w:hint="eastAsia"/>
          <w:lang w:val="en-US" w:eastAsia="zh-CN"/>
        </w:rPr>
      </w:pPr>
    </w:p>
    <w:p w14:paraId="6E4CF997">
      <w:pPr>
        <w:pStyle w:val="48"/>
        <w:keepNext w:val="0"/>
        <w:keepLines w:val="0"/>
        <w:pageBreakBefore w:val="0"/>
        <w:widowControl w:val="0"/>
        <w:kinsoku/>
        <w:wordWrap/>
        <w:overflowPunct/>
        <w:topLinePunct w:val="0"/>
        <w:autoSpaceDE/>
        <w:autoSpaceDN/>
        <w:bidi w:val="0"/>
        <w:adjustRightInd/>
        <w:snapToGrid/>
        <w:spacing w:before="0" w:after="0" w:line="572" w:lineRule="exact"/>
        <w:jc w:val="both"/>
        <w:textAlignment w:val="auto"/>
        <w:outlineLvl w:val="9"/>
        <w:rPr>
          <w:rFonts w:hint="eastAsia" w:ascii="方正小标宋简体" w:hAnsi="方正小标宋简体" w:eastAsia="方正小标宋简体" w:cs="方正小标宋简体"/>
          <w:color w:val="auto"/>
          <w:sz w:val="44"/>
          <w:szCs w:val="44"/>
        </w:rPr>
      </w:pPr>
    </w:p>
    <w:p w14:paraId="2690ADA3">
      <w:pPr>
        <w:pStyle w:val="48"/>
        <w:keepNext w:val="0"/>
        <w:keepLines w:val="0"/>
        <w:pageBreakBefore w:val="0"/>
        <w:widowControl w:val="0"/>
        <w:kinsoku/>
        <w:wordWrap/>
        <w:overflowPunct/>
        <w:topLinePunct w:val="0"/>
        <w:autoSpaceDE/>
        <w:autoSpaceDN/>
        <w:bidi w:val="0"/>
        <w:adjustRightInd/>
        <w:snapToGrid/>
        <w:spacing w:before="0" w:after="0" w:line="572" w:lineRule="exact"/>
        <w:jc w:val="both"/>
        <w:textAlignment w:val="auto"/>
        <w:outlineLvl w:val="9"/>
        <w:rPr>
          <w:rFonts w:hint="eastAsia" w:ascii="方正小标宋简体" w:hAnsi="方正小标宋简体" w:eastAsia="方正小标宋简体" w:cs="方正小标宋简体"/>
          <w:color w:val="auto"/>
          <w:sz w:val="44"/>
          <w:szCs w:val="44"/>
        </w:rPr>
      </w:pPr>
    </w:p>
    <w:tbl>
      <w:tblPr>
        <w:tblStyle w:val="20"/>
        <w:tblW w:w="8758" w:type="dxa"/>
        <w:jc w:val="center"/>
        <w:tblLayout w:type="fixed"/>
        <w:tblCellMar>
          <w:top w:w="0" w:type="dxa"/>
          <w:left w:w="108" w:type="dxa"/>
          <w:bottom w:w="0" w:type="dxa"/>
          <w:right w:w="108" w:type="dxa"/>
        </w:tblCellMar>
      </w:tblPr>
      <w:tblGrid>
        <w:gridCol w:w="3328"/>
        <w:gridCol w:w="1789"/>
        <w:gridCol w:w="1789"/>
        <w:gridCol w:w="1852"/>
      </w:tblGrid>
      <w:tr w14:paraId="399B2162">
        <w:tblPrEx>
          <w:tblCellMar>
            <w:top w:w="0" w:type="dxa"/>
            <w:left w:w="108" w:type="dxa"/>
            <w:bottom w:w="0" w:type="dxa"/>
            <w:right w:w="108" w:type="dxa"/>
          </w:tblCellMar>
        </w:tblPrEx>
        <w:trPr>
          <w:trHeight w:val="692" w:hRule="atLeast"/>
          <w:jc w:val="center"/>
        </w:trPr>
        <w:tc>
          <w:tcPr>
            <w:tcW w:w="3328" w:type="dxa"/>
            <w:tcBorders>
              <w:top w:val="nil"/>
              <w:left w:val="nil"/>
              <w:bottom w:val="nil"/>
              <w:right w:val="nil"/>
            </w:tcBorders>
            <w:shd w:val="clear" w:color="auto" w:fill="auto"/>
            <w:vAlign w:val="center"/>
          </w:tcPr>
          <w:p w14:paraId="313BA67E">
            <w:pPr>
              <w:widowControl/>
              <w:jc w:val="left"/>
              <w:rPr>
                <w:rFonts w:hint="eastAsia" w:ascii="宋体" w:hAnsi="宋体" w:eastAsia="黑体" w:cs="宋体"/>
                <w:kern w:val="0"/>
                <w:sz w:val="24"/>
                <w:szCs w:val="24"/>
                <w:lang w:eastAsia="zh-CN"/>
              </w:rPr>
            </w:pPr>
            <w:bookmarkStart w:id="13" w:name="RANGE!A1:C12"/>
            <w:r>
              <w:rPr>
                <w:rFonts w:hint="eastAsia" w:ascii="黑体" w:hAnsi="黑体" w:eastAsia="黑体" w:cs="黑体"/>
                <w:kern w:val="0"/>
                <w:sz w:val="32"/>
                <w:szCs w:val="32"/>
              </w:rPr>
              <w:t>表十</w:t>
            </w:r>
            <w:bookmarkEnd w:id="13"/>
            <w:r>
              <w:rPr>
                <w:rFonts w:hint="eastAsia" w:ascii="黑体" w:hAnsi="黑体" w:eastAsia="黑体" w:cs="黑体"/>
                <w:kern w:val="0"/>
                <w:sz w:val="32"/>
                <w:szCs w:val="32"/>
                <w:lang w:val="en-US" w:eastAsia="zh-CN"/>
              </w:rPr>
              <w:t>四</w:t>
            </w:r>
          </w:p>
        </w:tc>
        <w:tc>
          <w:tcPr>
            <w:tcW w:w="1789" w:type="dxa"/>
            <w:tcBorders>
              <w:top w:val="nil"/>
              <w:left w:val="nil"/>
              <w:bottom w:val="nil"/>
              <w:right w:val="nil"/>
            </w:tcBorders>
            <w:shd w:val="clear" w:color="auto" w:fill="auto"/>
            <w:vAlign w:val="center"/>
          </w:tcPr>
          <w:p w14:paraId="6E50AD06">
            <w:pPr>
              <w:widowControl/>
              <w:jc w:val="left"/>
              <w:rPr>
                <w:rFonts w:hint="eastAsia" w:ascii="宋体" w:hAnsi="宋体" w:eastAsia="宋体" w:cs="宋体"/>
                <w:kern w:val="0"/>
                <w:sz w:val="24"/>
                <w:szCs w:val="24"/>
              </w:rPr>
            </w:pPr>
          </w:p>
        </w:tc>
        <w:tc>
          <w:tcPr>
            <w:tcW w:w="1789" w:type="dxa"/>
            <w:tcBorders>
              <w:top w:val="nil"/>
              <w:left w:val="nil"/>
              <w:bottom w:val="nil"/>
              <w:right w:val="nil"/>
            </w:tcBorders>
          </w:tcPr>
          <w:p w14:paraId="16C36F54">
            <w:pPr>
              <w:widowControl/>
              <w:jc w:val="left"/>
              <w:rPr>
                <w:rFonts w:hint="eastAsia" w:ascii="宋体" w:hAnsi="宋体" w:eastAsia="宋体" w:cs="宋体"/>
                <w:kern w:val="0"/>
                <w:sz w:val="24"/>
                <w:szCs w:val="24"/>
              </w:rPr>
            </w:pPr>
          </w:p>
        </w:tc>
        <w:tc>
          <w:tcPr>
            <w:tcW w:w="1852" w:type="dxa"/>
            <w:tcBorders>
              <w:top w:val="nil"/>
              <w:left w:val="nil"/>
              <w:bottom w:val="nil"/>
              <w:right w:val="nil"/>
            </w:tcBorders>
            <w:shd w:val="clear" w:color="auto" w:fill="auto"/>
            <w:vAlign w:val="center"/>
          </w:tcPr>
          <w:p w14:paraId="134F8435">
            <w:pPr>
              <w:widowControl/>
              <w:jc w:val="left"/>
              <w:rPr>
                <w:rFonts w:hint="eastAsia" w:ascii="宋体" w:hAnsi="宋体" w:eastAsia="宋体" w:cs="宋体"/>
                <w:kern w:val="0"/>
                <w:sz w:val="24"/>
                <w:szCs w:val="24"/>
              </w:rPr>
            </w:pPr>
          </w:p>
        </w:tc>
      </w:tr>
      <w:tr w14:paraId="2FA00367">
        <w:tblPrEx>
          <w:tblCellMar>
            <w:top w:w="0" w:type="dxa"/>
            <w:left w:w="108" w:type="dxa"/>
            <w:bottom w:w="0" w:type="dxa"/>
            <w:right w:w="108" w:type="dxa"/>
          </w:tblCellMar>
        </w:tblPrEx>
        <w:trPr>
          <w:trHeight w:val="1199" w:hRule="atLeast"/>
          <w:jc w:val="center"/>
        </w:trPr>
        <w:tc>
          <w:tcPr>
            <w:tcW w:w="8758" w:type="dxa"/>
            <w:gridSpan w:val="4"/>
            <w:tcBorders>
              <w:top w:val="nil"/>
              <w:left w:val="nil"/>
              <w:bottom w:val="nil"/>
              <w:right w:val="nil"/>
            </w:tcBorders>
          </w:tcPr>
          <w:p w14:paraId="31AA7417">
            <w:pPr>
              <w:pStyle w:val="48"/>
              <w:jc w:val="center"/>
              <w:rPr>
                <w:rFonts w:hint="eastAsia" w:ascii="宋体" w:hAnsi="宋体" w:eastAsia="宋体" w:cs="宋体"/>
                <w:sz w:val="24"/>
                <w:szCs w:val="24"/>
                <w:highlight w:val="none"/>
              </w:rPr>
            </w:pPr>
            <w:r>
              <w:rPr>
                <w:rFonts w:hint="eastAsia" w:hAnsi="方正小标宋简体" w:cs="方正小标宋简体"/>
                <w:sz w:val="44"/>
                <w:szCs w:val="44"/>
                <w:highlight w:val="none"/>
                <w:lang w:val="en-US" w:eastAsia="zh-CN"/>
              </w:rPr>
              <w:t>2026</w:t>
            </w:r>
            <w:r>
              <w:rPr>
                <w:rFonts w:hint="eastAsia" w:ascii="方正小标宋简体" w:hAnsi="方正小标宋简体" w:eastAsia="方正小标宋简体" w:cs="方正小标宋简体"/>
                <w:sz w:val="44"/>
                <w:szCs w:val="44"/>
                <w:highlight w:val="none"/>
              </w:rPr>
              <w:t>年政府性基金收入预算表</w:t>
            </w:r>
          </w:p>
        </w:tc>
      </w:tr>
      <w:tr w14:paraId="7364DAEC">
        <w:tblPrEx>
          <w:tblCellMar>
            <w:top w:w="0" w:type="dxa"/>
            <w:left w:w="108" w:type="dxa"/>
            <w:bottom w:w="0" w:type="dxa"/>
            <w:right w:w="108" w:type="dxa"/>
          </w:tblCellMar>
        </w:tblPrEx>
        <w:trPr>
          <w:trHeight w:val="750" w:hRule="atLeast"/>
          <w:jc w:val="center"/>
        </w:trPr>
        <w:tc>
          <w:tcPr>
            <w:tcW w:w="3328" w:type="dxa"/>
            <w:tcBorders>
              <w:top w:val="nil"/>
              <w:left w:val="nil"/>
              <w:bottom w:val="nil"/>
              <w:right w:val="nil"/>
            </w:tcBorders>
            <w:shd w:val="clear" w:color="auto" w:fill="auto"/>
            <w:vAlign w:val="center"/>
          </w:tcPr>
          <w:p w14:paraId="6FC31034">
            <w:pPr>
              <w:widowControl/>
              <w:jc w:val="center"/>
              <w:rPr>
                <w:rFonts w:hint="eastAsia" w:ascii="宋体" w:hAnsi="宋体" w:eastAsia="宋体" w:cs="宋体"/>
                <w:kern w:val="0"/>
                <w:sz w:val="24"/>
                <w:szCs w:val="24"/>
              </w:rPr>
            </w:pPr>
          </w:p>
        </w:tc>
        <w:tc>
          <w:tcPr>
            <w:tcW w:w="1789" w:type="dxa"/>
            <w:tcBorders>
              <w:top w:val="nil"/>
              <w:left w:val="nil"/>
              <w:bottom w:val="nil"/>
              <w:right w:val="nil"/>
            </w:tcBorders>
            <w:shd w:val="clear" w:color="auto" w:fill="auto"/>
            <w:vAlign w:val="center"/>
          </w:tcPr>
          <w:p w14:paraId="7F8E2098">
            <w:pPr>
              <w:widowControl/>
              <w:jc w:val="center"/>
              <w:rPr>
                <w:rFonts w:hint="eastAsia" w:ascii="宋体" w:hAnsi="宋体" w:eastAsia="宋体" w:cs="宋体"/>
                <w:kern w:val="0"/>
                <w:sz w:val="24"/>
                <w:szCs w:val="24"/>
              </w:rPr>
            </w:pPr>
          </w:p>
        </w:tc>
        <w:tc>
          <w:tcPr>
            <w:tcW w:w="1789" w:type="dxa"/>
            <w:tcBorders>
              <w:top w:val="nil"/>
              <w:left w:val="nil"/>
              <w:bottom w:val="nil"/>
              <w:right w:val="nil"/>
            </w:tcBorders>
          </w:tcPr>
          <w:p w14:paraId="2166BEAA">
            <w:pPr>
              <w:widowControl/>
              <w:jc w:val="right"/>
              <w:rPr>
                <w:rFonts w:hint="eastAsia" w:ascii="宋体" w:hAnsi="宋体" w:eastAsia="宋体" w:cs="宋体"/>
                <w:kern w:val="0"/>
                <w:sz w:val="24"/>
                <w:szCs w:val="24"/>
              </w:rPr>
            </w:pPr>
          </w:p>
        </w:tc>
        <w:tc>
          <w:tcPr>
            <w:tcW w:w="1852" w:type="dxa"/>
            <w:tcBorders>
              <w:top w:val="nil"/>
              <w:left w:val="nil"/>
              <w:bottom w:val="single" w:color="auto" w:sz="4" w:space="0"/>
              <w:right w:val="nil"/>
            </w:tcBorders>
            <w:shd w:val="clear" w:color="auto" w:fill="auto"/>
            <w:vAlign w:val="center"/>
          </w:tcPr>
          <w:p w14:paraId="2ECCEDC0">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单位：万元</w:t>
            </w:r>
          </w:p>
        </w:tc>
      </w:tr>
      <w:tr w14:paraId="43D4A243">
        <w:tblPrEx>
          <w:tblCellMar>
            <w:top w:w="0" w:type="dxa"/>
            <w:left w:w="108" w:type="dxa"/>
            <w:bottom w:w="0" w:type="dxa"/>
            <w:right w:w="108" w:type="dxa"/>
          </w:tblCellMar>
        </w:tblPrEx>
        <w:trPr>
          <w:trHeight w:val="781" w:hRule="atLeast"/>
          <w:jc w:val="center"/>
        </w:trPr>
        <w:tc>
          <w:tcPr>
            <w:tcW w:w="3328" w:type="dxa"/>
            <w:tcBorders>
              <w:top w:val="single" w:color="auto" w:sz="4" w:space="0"/>
              <w:left w:val="single" w:color="auto" w:sz="4" w:space="0"/>
              <w:bottom w:val="nil"/>
              <w:right w:val="single" w:color="auto" w:sz="4" w:space="0"/>
            </w:tcBorders>
            <w:shd w:val="clear" w:color="auto" w:fill="auto"/>
            <w:vAlign w:val="center"/>
          </w:tcPr>
          <w:p w14:paraId="04FBFFFE">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项   目</w:t>
            </w:r>
          </w:p>
        </w:tc>
        <w:tc>
          <w:tcPr>
            <w:tcW w:w="1789" w:type="dxa"/>
            <w:tcBorders>
              <w:top w:val="single" w:color="auto" w:sz="4" w:space="0"/>
              <w:left w:val="nil"/>
              <w:bottom w:val="single" w:color="auto" w:sz="4" w:space="0"/>
              <w:right w:val="single" w:color="auto" w:sz="4" w:space="0"/>
            </w:tcBorders>
            <w:shd w:val="clear" w:color="auto" w:fill="auto"/>
            <w:vAlign w:val="center"/>
          </w:tcPr>
          <w:p w14:paraId="77D4C195">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2025年执行数</w:t>
            </w:r>
          </w:p>
        </w:tc>
        <w:tc>
          <w:tcPr>
            <w:tcW w:w="1789" w:type="dxa"/>
            <w:tcBorders>
              <w:top w:val="single" w:color="auto" w:sz="4" w:space="0"/>
              <w:left w:val="nil"/>
              <w:bottom w:val="single" w:color="auto" w:sz="4" w:space="0"/>
              <w:right w:val="single" w:color="auto" w:sz="4" w:space="0"/>
            </w:tcBorders>
            <w:vAlign w:val="center"/>
          </w:tcPr>
          <w:p w14:paraId="7B87DDA7">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2026年预算数</w:t>
            </w:r>
          </w:p>
        </w:tc>
        <w:tc>
          <w:tcPr>
            <w:tcW w:w="1852" w:type="dxa"/>
            <w:tcBorders>
              <w:top w:val="single" w:color="auto" w:sz="4" w:space="0"/>
              <w:left w:val="single" w:color="auto" w:sz="4" w:space="0"/>
              <w:bottom w:val="single" w:color="auto" w:sz="4" w:space="0"/>
              <w:right w:val="single" w:color="auto" w:sz="4" w:space="0"/>
            </w:tcBorders>
            <w:shd w:val="clear" w:color="auto" w:fill="auto"/>
            <w:vAlign w:val="center"/>
          </w:tcPr>
          <w:p w14:paraId="3EFF46E2">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备注</w:t>
            </w:r>
          </w:p>
        </w:tc>
      </w:tr>
      <w:tr w14:paraId="454C14ED">
        <w:tblPrEx>
          <w:tblCellMar>
            <w:top w:w="0" w:type="dxa"/>
            <w:left w:w="108" w:type="dxa"/>
            <w:bottom w:w="0" w:type="dxa"/>
            <w:right w:w="108" w:type="dxa"/>
          </w:tblCellMar>
        </w:tblPrEx>
        <w:trPr>
          <w:trHeight w:val="781" w:hRule="atLeast"/>
          <w:jc w:val="center"/>
        </w:trPr>
        <w:tc>
          <w:tcPr>
            <w:tcW w:w="3328" w:type="dxa"/>
            <w:tcBorders>
              <w:top w:val="single" w:color="auto" w:sz="4" w:space="0"/>
              <w:left w:val="single" w:color="auto" w:sz="4" w:space="0"/>
              <w:bottom w:val="single" w:color="auto" w:sz="4" w:space="0"/>
              <w:right w:val="single" w:color="auto" w:sz="4" w:space="0"/>
            </w:tcBorders>
            <w:shd w:val="clear" w:color="auto" w:fill="auto"/>
            <w:vAlign w:val="center"/>
          </w:tcPr>
          <w:p w14:paraId="1BA3D94C">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国有土地收益基金收入</w:t>
            </w:r>
          </w:p>
        </w:tc>
        <w:tc>
          <w:tcPr>
            <w:tcW w:w="1789" w:type="dxa"/>
            <w:tcBorders>
              <w:top w:val="nil"/>
              <w:left w:val="nil"/>
              <w:bottom w:val="single" w:color="auto" w:sz="4" w:space="0"/>
              <w:right w:val="single" w:color="auto" w:sz="4" w:space="0"/>
            </w:tcBorders>
            <w:shd w:val="clear" w:color="auto" w:fill="auto"/>
            <w:vAlign w:val="center"/>
          </w:tcPr>
          <w:p w14:paraId="2BA477F7">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328 </w:t>
            </w:r>
          </w:p>
        </w:tc>
        <w:tc>
          <w:tcPr>
            <w:tcW w:w="1789" w:type="dxa"/>
            <w:tcBorders>
              <w:top w:val="nil"/>
              <w:left w:val="nil"/>
              <w:bottom w:val="single" w:color="auto" w:sz="4" w:space="0"/>
              <w:right w:val="single" w:color="auto" w:sz="4" w:space="0"/>
            </w:tcBorders>
            <w:vAlign w:val="center"/>
          </w:tcPr>
          <w:p w14:paraId="5557B2FD">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340 </w:t>
            </w:r>
          </w:p>
        </w:tc>
        <w:tc>
          <w:tcPr>
            <w:tcW w:w="1852" w:type="dxa"/>
            <w:tcBorders>
              <w:top w:val="single" w:color="auto" w:sz="4" w:space="0"/>
              <w:left w:val="single" w:color="auto" w:sz="4" w:space="0"/>
              <w:bottom w:val="single" w:color="auto" w:sz="4" w:space="0"/>
              <w:right w:val="single" w:color="auto" w:sz="4" w:space="0"/>
            </w:tcBorders>
            <w:shd w:val="clear" w:color="auto" w:fill="auto"/>
            <w:vAlign w:val="center"/>
          </w:tcPr>
          <w:p w14:paraId="21E4878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5CAF237B">
        <w:tblPrEx>
          <w:tblCellMar>
            <w:top w:w="0" w:type="dxa"/>
            <w:left w:w="108" w:type="dxa"/>
            <w:bottom w:w="0" w:type="dxa"/>
            <w:right w:w="108" w:type="dxa"/>
          </w:tblCellMar>
        </w:tblPrEx>
        <w:trPr>
          <w:trHeight w:val="781" w:hRule="atLeast"/>
          <w:jc w:val="center"/>
        </w:trPr>
        <w:tc>
          <w:tcPr>
            <w:tcW w:w="3328" w:type="dxa"/>
            <w:tcBorders>
              <w:top w:val="nil"/>
              <w:left w:val="single" w:color="auto" w:sz="4" w:space="0"/>
              <w:bottom w:val="single" w:color="auto" w:sz="4" w:space="0"/>
              <w:right w:val="single" w:color="auto" w:sz="4" w:space="0"/>
            </w:tcBorders>
            <w:shd w:val="clear" w:color="auto" w:fill="auto"/>
            <w:vAlign w:val="center"/>
          </w:tcPr>
          <w:p w14:paraId="1C27C712">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农业土地开发资金收入</w:t>
            </w:r>
          </w:p>
        </w:tc>
        <w:tc>
          <w:tcPr>
            <w:tcW w:w="1789" w:type="dxa"/>
            <w:tcBorders>
              <w:top w:val="nil"/>
              <w:left w:val="nil"/>
              <w:bottom w:val="single" w:color="auto" w:sz="4" w:space="0"/>
              <w:right w:val="single" w:color="auto" w:sz="4" w:space="0"/>
            </w:tcBorders>
            <w:shd w:val="clear" w:color="000000" w:fill="FFFFFF"/>
            <w:vAlign w:val="center"/>
          </w:tcPr>
          <w:p w14:paraId="29EB8E0F">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182 </w:t>
            </w:r>
          </w:p>
        </w:tc>
        <w:tc>
          <w:tcPr>
            <w:tcW w:w="1789" w:type="dxa"/>
            <w:tcBorders>
              <w:top w:val="nil"/>
              <w:left w:val="nil"/>
              <w:bottom w:val="single" w:color="auto" w:sz="4" w:space="0"/>
              <w:right w:val="single" w:color="auto" w:sz="4" w:space="0"/>
            </w:tcBorders>
            <w:vAlign w:val="center"/>
          </w:tcPr>
          <w:p w14:paraId="0F22A477">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200 </w:t>
            </w:r>
          </w:p>
        </w:tc>
        <w:tc>
          <w:tcPr>
            <w:tcW w:w="1852" w:type="dxa"/>
            <w:tcBorders>
              <w:top w:val="single" w:color="auto" w:sz="4" w:space="0"/>
              <w:left w:val="single" w:color="auto" w:sz="4" w:space="0"/>
              <w:bottom w:val="single" w:color="auto" w:sz="4" w:space="0"/>
              <w:right w:val="single" w:color="auto" w:sz="4" w:space="0"/>
            </w:tcBorders>
            <w:shd w:val="clear" w:color="auto" w:fill="auto"/>
            <w:vAlign w:val="center"/>
          </w:tcPr>
          <w:p w14:paraId="28F2C96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6924794E">
        <w:tblPrEx>
          <w:tblCellMar>
            <w:top w:w="0" w:type="dxa"/>
            <w:left w:w="108" w:type="dxa"/>
            <w:bottom w:w="0" w:type="dxa"/>
            <w:right w:w="108" w:type="dxa"/>
          </w:tblCellMar>
        </w:tblPrEx>
        <w:trPr>
          <w:trHeight w:val="781" w:hRule="atLeast"/>
          <w:jc w:val="center"/>
        </w:trPr>
        <w:tc>
          <w:tcPr>
            <w:tcW w:w="3328" w:type="dxa"/>
            <w:tcBorders>
              <w:top w:val="nil"/>
              <w:left w:val="single" w:color="auto" w:sz="4" w:space="0"/>
              <w:bottom w:val="single" w:color="auto" w:sz="4" w:space="0"/>
              <w:right w:val="single" w:color="auto" w:sz="4" w:space="0"/>
            </w:tcBorders>
            <w:shd w:val="clear" w:color="auto" w:fill="auto"/>
            <w:vAlign w:val="center"/>
          </w:tcPr>
          <w:p w14:paraId="746B1B78">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国有土地使用权出让收入</w:t>
            </w:r>
          </w:p>
        </w:tc>
        <w:tc>
          <w:tcPr>
            <w:tcW w:w="1789" w:type="dxa"/>
            <w:tcBorders>
              <w:top w:val="nil"/>
              <w:left w:val="nil"/>
              <w:bottom w:val="single" w:color="auto" w:sz="4" w:space="0"/>
              <w:right w:val="single" w:color="auto" w:sz="4" w:space="0"/>
            </w:tcBorders>
            <w:shd w:val="clear" w:color="auto" w:fill="auto"/>
            <w:vAlign w:val="center"/>
          </w:tcPr>
          <w:p w14:paraId="16876507">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109194 </w:t>
            </w:r>
          </w:p>
        </w:tc>
        <w:tc>
          <w:tcPr>
            <w:tcW w:w="1789" w:type="dxa"/>
            <w:tcBorders>
              <w:top w:val="nil"/>
              <w:left w:val="nil"/>
              <w:bottom w:val="single" w:color="auto" w:sz="4" w:space="0"/>
              <w:right w:val="single" w:color="auto" w:sz="4" w:space="0"/>
            </w:tcBorders>
            <w:vAlign w:val="center"/>
          </w:tcPr>
          <w:p w14:paraId="75807FC6">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114660 </w:t>
            </w:r>
          </w:p>
        </w:tc>
        <w:tc>
          <w:tcPr>
            <w:tcW w:w="1852" w:type="dxa"/>
            <w:tcBorders>
              <w:top w:val="single" w:color="auto" w:sz="4" w:space="0"/>
              <w:left w:val="single" w:color="auto" w:sz="4" w:space="0"/>
              <w:bottom w:val="single" w:color="auto" w:sz="4" w:space="0"/>
              <w:right w:val="single" w:color="auto" w:sz="4" w:space="0"/>
            </w:tcBorders>
            <w:shd w:val="clear" w:color="auto" w:fill="auto"/>
            <w:vAlign w:val="center"/>
          </w:tcPr>
          <w:p w14:paraId="351CED0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54BC8196">
        <w:tblPrEx>
          <w:tblCellMar>
            <w:top w:w="0" w:type="dxa"/>
            <w:left w:w="108" w:type="dxa"/>
            <w:bottom w:w="0" w:type="dxa"/>
            <w:right w:w="108" w:type="dxa"/>
          </w:tblCellMar>
        </w:tblPrEx>
        <w:trPr>
          <w:trHeight w:val="781" w:hRule="atLeast"/>
          <w:jc w:val="center"/>
        </w:trPr>
        <w:tc>
          <w:tcPr>
            <w:tcW w:w="3328" w:type="dxa"/>
            <w:tcBorders>
              <w:top w:val="nil"/>
              <w:left w:val="single" w:color="auto" w:sz="4" w:space="0"/>
              <w:bottom w:val="single" w:color="auto" w:sz="4" w:space="0"/>
              <w:right w:val="single" w:color="auto" w:sz="4" w:space="0"/>
            </w:tcBorders>
            <w:shd w:val="clear" w:color="auto" w:fill="auto"/>
            <w:vAlign w:val="center"/>
          </w:tcPr>
          <w:p w14:paraId="661C23CF">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城市基础设施配套费收入</w:t>
            </w:r>
          </w:p>
        </w:tc>
        <w:tc>
          <w:tcPr>
            <w:tcW w:w="1789" w:type="dxa"/>
            <w:tcBorders>
              <w:top w:val="nil"/>
              <w:left w:val="nil"/>
              <w:bottom w:val="single" w:color="auto" w:sz="4" w:space="0"/>
              <w:right w:val="single" w:color="auto" w:sz="4" w:space="0"/>
            </w:tcBorders>
            <w:shd w:val="clear" w:color="auto" w:fill="auto"/>
            <w:vAlign w:val="center"/>
          </w:tcPr>
          <w:p w14:paraId="20B8DEEE">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1466</w:t>
            </w:r>
          </w:p>
        </w:tc>
        <w:tc>
          <w:tcPr>
            <w:tcW w:w="1789" w:type="dxa"/>
            <w:tcBorders>
              <w:top w:val="nil"/>
              <w:left w:val="nil"/>
              <w:bottom w:val="single" w:color="auto" w:sz="4" w:space="0"/>
              <w:right w:val="single" w:color="auto" w:sz="4" w:space="0"/>
            </w:tcBorders>
            <w:vAlign w:val="center"/>
          </w:tcPr>
          <w:p w14:paraId="7BC7D406">
            <w:pPr>
              <w:keepNext w:val="0"/>
              <w:keepLines w:val="0"/>
              <w:widowControl/>
              <w:suppressLineNumbers w:val="0"/>
              <w:jc w:val="center"/>
              <w:textAlignment w:val="center"/>
              <w:rPr>
                <w:rFonts w:hint="default" w:ascii="宋体" w:hAnsi="宋体" w:eastAsia="宋体" w:cs="宋体"/>
                <w:sz w:val="24"/>
                <w:szCs w:val="24"/>
                <w:highlight w:val="none"/>
                <w:lang w:val="en-US"/>
              </w:rPr>
            </w:pPr>
            <w:r>
              <w:rPr>
                <w:rFonts w:hint="eastAsia" w:ascii="宋体" w:hAnsi="宋体" w:eastAsia="宋体" w:cs="宋体"/>
                <w:i w:val="0"/>
                <w:color w:val="000000"/>
                <w:kern w:val="0"/>
                <w:sz w:val="24"/>
                <w:szCs w:val="24"/>
                <w:u w:val="none"/>
                <w:lang w:val="en-US" w:eastAsia="zh-CN" w:bidi="ar"/>
              </w:rPr>
              <w:t>1500</w:t>
            </w:r>
          </w:p>
        </w:tc>
        <w:tc>
          <w:tcPr>
            <w:tcW w:w="1852" w:type="dxa"/>
            <w:tcBorders>
              <w:top w:val="single" w:color="auto" w:sz="4" w:space="0"/>
              <w:left w:val="single" w:color="auto" w:sz="4" w:space="0"/>
              <w:bottom w:val="single" w:color="auto" w:sz="4" w:space="0"/>
              <w:right w:val="single" w:color="auto" w:sz="4" w:space="0"/>
            </w:tcBorders>
            <w:shd w:val="clear" w:color="auto" w:fill="auto"/>
            <w:vAlign w:val="center"/>
          </w:tcPr>
          <w:p w14:paraId="23E3BC7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420D98FF">
        <w:tblPrEx>
          <w:tblCellMar>
            <w:top w:w="0" w:type="dxa"/>
            <w:left w:w="108" w:type="dxa"/>
            <w:bottom w:w="0" w:type="dxa"/>
            <w:right w:w="108" w:type="dxa"/>
          </w:tblCellMar>
        </w:tblPrEx>
        <w:trPr>
          <w:trHeight w:val="781" w:hRule="atLeast"/>
          <w:jc w:val="center"/>
        </w:trPr>
        <w:tc>
          <w:tcPr>
            <w:tcW w:w="3328" w:type="dxa"/>
            <w:tcBorders>
              <w:top w:val="nil"/>
              <w:left w:val="single" w:color="auto" w:sz="4" w:space="0"/>
              <w:bottom w:val="single" w:color="auto" w:sz="4" w:space="0"/>
              <w:right w:val="single" w:color="auto" w:sz="4" w:space="0"/>
            </w:tcBorders>
            <w:shd w:val="clear" w:color="auto" w:fill="auto"/>
            <w:vAlign w:val="center"/>
          </w:tcPr>
          <w:p w14:paraId="743FB450">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污水处理费收入</w:t>
            </w:r>
          </w:p>
        </w:tc>
        <w:tc>
          <w:tcPr>
            <w:tcW w:w="1789" w:type="dxa"/>
            <w:tcBorders>
              <w:top w:val="nil"/>
              <w:left w:val="nil"/>
              <w:bottom w:val="single" w:color="auto" w:sz="4" w:space="0"/>
              <w:right w:val="single" w:color="auto" w:sz="4" w:space="0"/>
            </w:tcBorders>
            <w:shd w:val="clear" w:color="auto" w:fill="auto"/>
            <w:vAlign w:val="center"/>
          </w:tcPr>
          <w:p w14:paraId="0D325765">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910</w:t>
            </w:r>
          </w:p>
        </w:tc>
        <w:tc>
          <w:tcPr>
            <w:tcW w:w="1789" w:type="dxa"/>
            <w:tcBorders>
              <w:top w:val="nil"/>
              <w:left w:val="nil"/>
              <w:bottom w:val="single" w:color="auto" w:sz="4" w:space="0"/>
              <w:right w:val="single" w:color="auto" w:sz="4" w:space="0"/>
            </w:tcBorders>
            <w:vAlign w:val="center"/>
          </w:tcPr>
          <w:p w14:paraId="77C4995D">
            <w:pPr>
              <w:keepNext w:val="0"/>
              <w:keepLines w:val="0"/>
              <w:widowControl/>
              <w:suppressLineNumbers w:val="0"/>
              <w:jc w:val="center"/>
              <w:textAlignment w:val="center"/>
              <w:rPr>
                <w:rFonts w:hint="default" w:ascii="宋体" w:hAnsi="宋体" w:eastAsia="宋体" w:cs="宋体"/>
                <w:sz w:val="24"/>
                <w:szCs w:val="24"/>
                <w:highlight w:val="none"/>
                <w:lang w:val="en-US"/>
              </w:rPr>
            </w:pPr>
            <w:r>
              <w:rPr>
                <w:rFonts w:hint="eastAsia" w:ascii="宋体" w:hAnsi="宋体" w:eastAsia="宋体" w:cs="宋体"/>
                <w:i w:val="0"/>
                <w:color w:val="000000"/>
                <w:kern w:val="0"/>
                <w:sz w:val="24"/>
                <w:szCs w:val="24"/>
                <w:u w:val="none"/>
                <w:lang w:val="en-US" w:eastAsia="zh-CN" w:bidi="ar"/>
              </w:rPr>
              <w:t>950</w:t>
            </w:r>
          </w:p>
        </w:tc>
        <w:tc>
          <w:tcPr>
            <w:tcW w:w="1852" w:type="dxa"/>
            <w:tcBorders>
              <w:top w:val="single" w:color="auto" w:sz="4" w:space="0"/>
              <w:left w:val="single" w:color="auto" w:sz="4" w:space="0"/>
              <w:bottom w:val="single" w:color="auto" w:sz="4" w:space="0"/>
              <w:right w:val="single" w:color="auto" w:sz="4" w:space="0"/>
            </w:tcBorders>
            <w:shd w:val="clear" w:color="auto" w:fill="auto"/>
            <w:vAlign w:val="center"/>
          </w:tcPr>
          <w:p w14:paraId="0DEC9D2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28564DEE">
        <w:tblPrEx>
          <w:tblCellMar>
            <w:top w:w="0" w:type="dxa"/>
            <w:left w:w="108" w:type="dxa"/>
            <w:bottom w:w="0" w:type="dxa"/>
            <w:right w:w="108" w:type="dxa"/>
          </w:tblCellMar>
        </w:tblPrEx>
        <w:trPr>
          <w:trHeight w:val="731" w:hRule="atLeast"/>
          <w:jc w:val="center"/>
        </w:trPr>
        <w:tc>
          <w:tcPr>
            <w:tcW w:w="3328" w:type="dxa"/>
            <w:tcBorders>
              <w:top w:val="nil"/>
              <w:left w:val="single" w:color="auto" w:sz="4" w:space="0"/>
              <w:bottom w:val="single" w:color="auto" w:sz="4" w:space="0"/>
              <w:right w:val="single" w:color="auto" w:sz="4" w:space="0"/>
            </w:tcBorders>
            <w:shd w:val="clear" w:color="auto" w:fill="auto"/>
            <w:vAlign w:val="center"/>
          </w:tcPr>
          <w:p w14:paraId="5A178187">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合   计</w:t>
            </w:r>
          </w:p>
        </w:tc>
        <w:tc>
          <w:tcPr>
            <w:tcW w:w="1789" w:type="dxa"/>
            <w:tcBorders>
              <w:top w:val="nil"/>
              <w:left w:val="nil"/>
              <w:bottom w:val="single" w:color="auto" w:sz="4" w:space="0"/>
              <w:right w:val="single" w:color="auto" w:sz="4" w:space="0"/>
            </w:tcBorders>
            <w:shd w:val="clear" w:color="auto" w:fill="auto"/>
            <w:vAlign w:val="center"/>
          </w:tcPr>
          <w:p w14:paraId="3C330936">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112080</w:t>
            </w:r>
          </w:p>
        </w:tc>
        <w:tc>
          <w:tcPr>
            <w:tcW w:w="1789" w:type="dxa"/>
            <w:tcBorders>
              <w:top w:val="nil"/>
              <w:left w:val="nil"/>
              <w:bottom w:val="single" w:color="auto" w:sz="4" w:space="0"/>
              <w:right w:val="single" w:color="auto" w:sz="4" w:space="0"/>
            </w:tcBorders>
            <w:vAlign w:val="center"/>
          </w:tcPr>
          <w:p w14:paraId="162C8C81">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117650</w:t>
            </w:r>
          </w:p>
        </w:tc>
        <w:tc>
          <w:tcPr>
            <w:tcW w:w="1852" w:type="dxa"/>
            <w:tcBorders>
              <w:top w:val="single" w:color="auto" w:sz="4" w:space="0"/>
              <w:left w:val="single" w:color="auto" w:sz="4" w:space="0"/>
              <w:bottom w:val="single" w:color="auto" w:sz="4" w:space="0"/>
              <w:right w:val="single" w:color="auto" w:sz="4" w:space="0"/>
            </w:tcBorders>
            <w:shd w:val="clear" w:color="auto" w:fill="auto"/>
            <w:vAlign w:val="center"/>
          </w:tcPr>
          <w:p w14:paraId="19B87E04">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p>
        </w:tc>
      </w:tr>
    </w:tbl>
    <w:p w14:paraId="4FA4FCE5">
      <w:pPr>
        <w:pStyle w:val="48"/>
        <w:keepNext w:val="0"/>
        <w:keepLines w:val="0"/>
        <w:pageBreakBefore w:val="0"/>
        <w:widowControl w:val="0"/>
        <w:kinsoku/>
        <w:wordWrap/>
        <w:overflowPunct/>
        <w:topLinePunct w:val="0"/>
        <w:autoSpaceDE/>
        <w:autoSpaceDN/>
        <w:bidi w:val="0"/>
        <w:adjustRightInd/>
        <w:snapToGrid/>
        <w:spacing w:before="0" w:after="0" w:line="572" w:lineRule="exact"/>
        <w:jc w:val="center"/>
        <w:textAlignment w:val="auto"/>
        <w:outlineLvl w:val="9"/>
        <w:rPr>
          <w:rFonts w:hint="eastAsia" w:ascii="方正小标宋简体" w:hAnsi="方正小标宋简体" w:eastAsia="方正小标宋简体" w:cs="方正小标宋简体"/>
          <w:color w:val="auto"/>
          <w:sz w:val="44"/>
          <w:szCs w:val="44"/>
        </w:rPr>
      </w:pPr>
    </w:p>
    <w:p w14:paraId="14A909BE">
      <w:pPr>
        <w:pStyle w:val="48"/>
        <w:keepNext w:val="0"/>
        <w:keepLines w:val="0"/>
        <w:pageBreakBefore w:val="0"/>
        <w:widowControl w:val="0"/>
        <w:kinsoku/>
        <w:wordWrap/>
        <w:overflowPunct/>
        <w:topLinePunct w:val="0"/>
        <w:autoSpaceDE/>
        <w:autoSpaceDN/>
        <w:bidi w:val="0"/>
        <w:adjustRightInd/>
        <w:snapToGrid/>
        <w:spacing w:before="0" w:after="0" w:line="572" w:lineRule="exact"/>
        <w:jc w:val="center"/>
        <w:textAlignment w:val="auto"/>
        <w:outlineLvl w:val="9"/>
        <w:rPr>
          <w:rFonts w:hint="eastAsia" w:ascii="方正小标宋简体" w:hAnsi="方正小标宋简体" w:eastAsia="方正小标宋简体" w:cs="方正小标宋简体"/>
          <w:color w:val="auto"/>
          <w:sz w:val="44"/>
          <w:szCs w:val="44"/>
        </w:rPr>
      </w:pPr>
    </w:p>
    <w:p w14:paraId="4ADFDB29">
      <w:pPr>
        <w:pStyle w:val="48"/>
        <w:keepNext w:val="0"/>
        <w:keepLines w:val="0"/>
        <w:pageBreakBefore w:val="0"/>
        <w:widowControl w:val="0"/>
        <w:kinsoku/>
        <w:wordWrap/>
        <w:overflowPunct/>
        <w:topLinePunct w:val="0"/>
        <w:autoSpaceDE/>
        <w:autoSpaceDN/>
        <w:bidi w:val="0"/>
        <w:adjustRightInd/>
        <w:snapToGrid/>
        <w:spacing w:before="0" w:after="0" w:line="572" w:lineRule="exact"/>
        <w:jc w:val="center"/>
        <w:textAlignment w:val="auto"/>
        <w:outlineLvl w:val="9"/>
        <w:rPr>
          <w:rFonts w:hint="eastAsia" w:ascii="方正小标宋简体" w:hAnsi="方正小标宋简体" w:eastAsia="方正小标宋简体" w:cs="方正小标宋简体"/>
          <w:color w:val="auto"/>
          <w:sz w:val="44"/>
          <w:szCs w:val="44"/>
        </w:rPr>
        <w:sectPr>
          <w:pgSz w:w="11906" w:h="16838"/>
          <w:pgMar w:top="2098" w:right="1531" w:bottom="1928" w:left="1531" w:header="851" w:footer="1417" w:gutter="0"/>
          <w:pgBorders>
            <w:top w:val="none" w:sz="0" w:space="0"/>
            <w:left w:val="none" w:sz="0" w:space="0"/>
            <w:bottom w:val="none" w:sz="0" w:space="0"/>
            <w:right w:val="none" w:sz="0" w:space="0"/>
          </w:pgBorders>
          <w:pgNumType w:fmt="numberInDash"/>
          <w:cols w:space="0" w:num="1"/>
          <w:rtlGutter w:val="0"/>
          <w:docGrid w:type="lines" w:linePitch="312" w:charSpace="0"/>
        </w:sectPr>
      </w:pPr>
    </w:p>
    <w:p w14:paraId="6B38ABE7">
      <w:pPr>
        <w:pStyle w:val="48"/>
        <w:keepNext w:val="0"/>
        <w:keepLines w:val="0"/>
        <w:pageBreakBefore w:val="0"/>
        <w:widowControl w:val="0"/>
        <w:kinsoku/>
        <w:wordWrap/>
        <w:overflowPunct/>
        <w:topLinePunct w:val="0"/>
        <w:autoSpaceDE/>
        <w:autoSpaceDN/>
        <w:bidi w:val="0"/>
        <w:adjustRightInd/>
        <w:snapToGrid/>
        <w:spacing w:before="0" w:after="0" w:line="572" w:lineRule="exact"/>
        <w:jc w:val="center"/>
        <w:textAlignment w:val="auto"/>
        <w:outlineLvl w:val="9"/>
        <w:rPr>
          <w:rFonts w:hint="eastAsia" w:ascii="方正小标宋简体" w:hAnsi="方正小标宋简体" w:eastAsia="方正小标宋简体" w:cs="方正小标宋简体"/>
          <w:color w:val="auto"/>
          <w:sz w:val="44"/>
          <w:szCs w:val="44"/>
          <w:highlight w:val="none"/>
        </w:rPr>
      </w:pPr>
      <w:bookmarkStart w:id="14" w:name="_Toc63764872"/>
      <w:r>
        <w:rPr>
          <w:rFonts w:hint="eastAsia" w:ascii="方正小标宋简体" w:hAnsi="方正小标宋简体" w:eastAsia="方正小标宋简体" w:cs="方正小标宋简体"/>
          <w:color w:val="auto"/>
          <w:sz w:val="44"/>
          <w:szCs w:val="44"/>
          <w:highlight w:val="none"/>
        </w:rPr>
        <w:t>关于</w:t>
      </w:r>
      <w:r>
        <w:rPr>
          <w:rFonts w:hint="eastAsia" w:hAnsi="方正小标宋简体" w:cs="方正小标宋简体"/>
          <w:color w:val="auto"/>
          <w:sz w:val="44"/>
          <w:szCs w:val="44"/>
          <w:highlight w:val="none"/>
          <w:lang w:val="en-US" w:eastAsia="zh-CN"/>
        </w:rPr>
        <w:t>2026</w:t>
      </w:r>
      <w:r>
        <w:rPr>
          <w:rFonts w:hint="eastAsia" w:ascii="方正小标宋简体" w:hAnsi="方正小标宋简体" w:eastAsia="方正小标宋简体" w:cs="方正小标宋简体"/>
          <w:color w:val="auto"/>
          <w:sz w:val="44"/>
          <w:szCs w:val="44"/>
          <w:highlight w:val="none"/>
        </w:rPr>
        <w:t>年政府性基金收入预算</w:t>
      </w:r>
    </w:p>
    <w:p w14:paraId="56567F83">
      <w:pPr>
        <w:pStyle w:val="48"/>
        <w:keepNext w:val="0"/>
        <w:keepLines w:val="0"/>
        <w:pageBreakBefore w:val="0"/>
        <w:widowControl w:val="0"/>
        <w:kinsoku/>
        <w:wordWrap/>
        <w:overflowPunct/>
        <w:topLinePunct w:val="0"/>
        <w:autoSpaceDE/>
        <w:autoSpaceDN/>
        <w:bidi w:val="0"/>
        <w:adjustRightInd/>
        <w:snapToGrid/>
        <w:spacing w:before="0" w:after="0" w:line="572" w:lineRule="exact"/>
        <w:jc w:val="center"/>
        <w:textAlignment w:val="auto"/>
        <w:outlineLvl w:val="9"/>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情况的说明</w:t>
      </w:r>
    </w:p>
    <w:p w14:paraId="1F26DBC6">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rPr>
      </w:pPr>
    </w:p>
    <w:p w14:paraId="678700D0">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2026</w:t>
      </w:r>
      <w:r>
        <w:rPr>
          <w:rFonts w:hint="eastAsia" w:ascii="仿宋_GB2312" w:hAnsi="仿宋_GB2312" w:eastAsia="仿宋_GB2312" w:cs="仿宋_GB2312"/>
          <w:color w:val="auto"/>
          <w:sz w:val="32"/>
          <w:szCs w:val="32"/>
          <w:highlight w:val="none"/>
        </w:rPr>
        <w:t>年政府性基金收入预算总计</w:t>
      </w:r>
      <w:r>
        <w:rPr>
          <w:rFonts w:hint="eastAsia" w:ascii="仿宋_GB2312" w:hAnsi="仿宋_GB2312" w:eastAsia="仿宋_GB2312" w:cs="仿宋_GB2312"/>
          <w:color w:val="auto"/>
          <w:sz w:val="32"/>
          <w:szCs w:val="32"/>
          <w:highlight w:val="none"/>
          <w:lang w:val="en-US" w:eastAsia="zh-CN"/>
        </w:rPr>
        <w:t>195625</w:t>
      </w:r>
      <w:r>
        <w:rPr>
          <w:rFonts w:hint="eastAsia" w:ascii="仿宋_GB2312" w:hAnsi="仿宋_GB2312" w:eastAsia="仿宋_GB2312" w:cs="仿宋_GB2312"/>
          <w:color w:val="auto"/>
          <w:sz w:val="32"/>
          <w:szCs w:val="32"/>
          <w:highlight w:val="none"/>
        </w:rPr>
        <w:t>万元，其中：县本级收入</w:t>
      </w:r>
      <w:r>
        <w:rPr>
          <w:rFonts w:hint="eastAsia" w:ascii="仿宋_GB2312" w:hAnsi="仿宋_GB2312" w:eastAsia="仿宋_GB2312" w:cs="仿宋_GB2312"/>
          <w:color w:val="auto"/>
          <w:sz w:val="32"/>
          <w:szCs w:val="32"/>
          <w:highlight w:val="none"/>
          <w:lang w:val="en-US" w:eastAsia="zh-CN"/>
        </w:rPr>
        <w:t>117650</w:t>
      </w:r>
      <w:r>
        <w:rPr>
          <w:rFonts w:hint="eastAsia" w:ascii="仿宋_GB2312" w:hAnsi="仿宋_GB2312" w:eastAsia="仿宋_GB2312" w:cs="仿宋_GB2312"/>
          <w:color w:val="auto"/>
          <w:sz w:val="32"/>
          <w:szCs w:val="32"/>
          <w:highlight w:val="none"/>
        </w:rPr>
        <w:t>万元，上级补助收入</w:t>
      </w:r>
      <w:r>
        <w:rPr>
          <w:rFonts w:hint="eastAsia" w:ascii="仿宋_GB2312" w:hAnsi="仿宋_GB2312" w:eastAsia="仿宋_GB2312" w:cs="仿宋_GB2312"/>
          <w:color w:val="auto"/>
          <w:sz w:val="32"/>
          <w:szCs w:val="32"/>
          <w:highlight w:val="none"/>
          <w:lang w:val="en-US" w:eastAsia="zh-CN"/>
        </w:rPr>
        <w:t>1109</w:t>
      </w:r>
      <w:r>
        <w:rPr>
          <w:rFonts w:hint="eastAsia" w:ascii="仿宋_GB2312" w:hAnsi="仿宋_GB2312" w:eastAsia="仿宋_GB2312" w:cs="仿宋_GB2312"/>
          <w:color w:val="auto"/>
          <w:sz w:val="32"/>
          <w:szCs w:val="32"/>
          <w:highlight w:val="none"/>
        </w:rPr>
        <w:t>万元，上年结余收入</w:t>
      </w:r>
      <w:r>
        <w:rPr>
          <w:rFonts w:hint="eastAsia" w:ascii="仿宋_GB2312" w:hAnsi="仿宋_GB2312" w:eastAsia="仿宋_GB2312" w:cs="仿宋_GB2312"/>
          <w:color w:val="auto"/>
          <w:sz w:val="32"/>
          <w:szCs w:val="32"/>
          <w:highlight w:val="none"/>
          <w:lang w:val="en-US" w:eastAsia="zh-CN"/>
        </w:rPr>
        <w:t>76866</w:t>
      </w:r>
      <w:r>
        <w:rPr>
          <w:rFonts w:hint="eastAsia" w:ascii="仿宋_GB2312" w:hAnsi="仿宋_GB2312" w:eastAsia="仿宋_GB2312" w:cs="仿宋_GB2312"/>
          <w:color w:val="auto"/>
          <w:sz w:val="32"/>
          <w:szCs w:val="32"/>
          <w:highlight w:val="none"/>
        </w:rPr>
        <w:t>万元。</w:t>
      </w:r>
    </w:p>
    <w:p w14:paraId="4B79207A">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一、县本级收入主要项目情况</w:t>
      </w:r>
    </w:p>
    <w:p w14:paraId="2D2B947D">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县本级收入预算</w:t>
      </w:r>
      <w:r>
        <w:rPr>
          <w:rFonts w:hint="eastAsia" w:ascii="仿宋_GB2312" w:hAnsi="仿宋_GB2312" w:eastAsia="仿宋_GB2312" w:cs="仿宋_GB2312"/>
          <w:color w:val="auto"/>
          <w:sz w:val="32"/>
          <w:szCs w:val="32"/>
          <w:highlight w:val="none"/>
          <w:lang w:val="en-US" w:eastAsia="zh-CN"/>
        </w:rPr>
        <w:t>117650</w:t>
      </w:r>
      <w:r>
        <w:rPr>
          <w:rFonts w:hint="eastAsia" w:ascii="仿宋_GB2312" w:hAnsi="仿宋_GB2312" w:eastAsia="仿宋_GB2312" w:cs="仿宋_GB2312"/>
          <w:color w:val="auto"/>
          <w:sz w:val="32"/>
          <w:szCs w:val="32"/>
          <w:highlight w:val="none"/>
        </w:rPr>
        <w:t>万元，主要项目安排情况是：</w:t>
      </w:r>
    </w:p>
    <w:p w14:paraId="0331C461">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1．国有土地收益基金收入</w:t>
      </w:r>
      <w:r>
        <w:rPr>
          <w:rFonts w:hint="eastAsia" w:ascii="仿宋_GB2312" w:hAnsi="仿宋_GB2312" w:eastAsia="仿宋_GB2312" w:cs="仿宋_GB2312"/>
          <w:color w:val="auto"/>
          <w:sz w:val="32"/>
          <w:szCs w:val="32"/>
          <w:highlight w:val="none"/>
          <w:lang w:val="en-US" w:eastAsia="zh-CN"/>
        </w:rPr>
        <w:t>340</w:t>
      </w:r>
      <w:r>
        <w:rPr>
          <w:rFonts w:hint="eastAsia" w:ascii="仿宋_GB2312" w:hAnsi="仿宋_GB2312" w:eastAsia="仿宋_GB2312" w:cs="仿宋_GB2312"/>
          <w:color w:val="auto"/>
          <w:sz w:val="32"/>
          <w:szCs w:val="32"/>
          <w:highlight w:val="none"/>
        </w:rPr>
        <w:t>万元；</w:t>
      </w:r>
    </w:p>
    <w:p w14:paraId="7FF6941A">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2．农业土地开发资金收入</w:t>
      </w:r>
      <w:r>
        <w:rPr>
          <w:rFonts w:hint="eastAsia" w:ascii="仿宋_GB2312" w:hAnsi="仿宋_GB2312" w:eastAsia="仿宋_GB2312" w:cs="仿宋_GB2312"/>
          <w:color w:val="auto"/>
          <w:sz w:val="32"/>
          <w:szCs w:val="32"/>
          <w:highlight w:val="none"/>
          <w:lang w:val="en-US" w:eastAsia="zh-CN"/>
        </w:rPr>
        <w:t>200</w:t>
      </w:r>
      <w:r>
        <w:rPr>
          <w:rFonts w:hint="eastAsia" w:ascii="仿宋_GB2312" w:hAnsi="仿宋_GB2312" w:eastAsia="仿宋_GB2312" w:cs="仿宋_GB2312"/>
          <w:color w:val="auto"/>
          <w:sz w:val="32"/>
          <w:szCs w:val="32"/>
          <w:highlight w:val="none"/>
        </w:rPr>
        <w:t>万元；</w:t>
      </w:r>
    </w:p>
    <w:p w14:paraId="41811543">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3．国有土地使用权出让收入</w:t>
      </w:r>
      <w:r>
        <w:rPr>
          <w:rFonts w:hint="eastAsia" w:ascii="仿宋_GB2312" w:hAnsi="仿宋_GB2312" w:eastAsia="仿宋_GB2312" w:cs="仿宋_GB2312"/>
          <w:color w:val="auto"/>
          <w:sz w:val="32"/>
          <w:szCs w:val="32"/>
          <w:highlight w:val="none"/>
          <w:lang w:val="en-US" w:eastAsia="zh-CN"/>
        </w:rPr>
        <w:t>114660</w:t>
      </w:r>
      <w:r>
        <w:rPr>
          <w:rFonts w:hint="eastAsia" w:ascii="仿宋_GB2312" w:hAnsi="仿宋_GB2312" w:eastAsia="仿宋_GB2312" w:cs="仿宋_GB2312"/>
          <w:color w:val="auto"/>
          <w:sz w:val="32"/>
          <w:szCs w:val="32"/>
          <w:highlight w:val="none"/>
        </w:rPr>
        <w:t>万元；</w:t>
      </w:r>
    </w:p>
    <w:p w14:paraId="329BB16D">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4．城市基础设施配套费收入</w:t>
      </w:r>
      <w:r>
        <w:rPr>
          <w:rFonts w:hint="eastAsia" w:ascii="仿宋_GB2312" w:hAnsi="仿宋_GB2312" w:eastAsia="仿宋_GB2312" w:cs="仿宋_GB2312"/>
          <w:color w:val="auto"/>
          <w:sz w:val="32"/>
          <w:szCs w:val="32"/>
          <w:highlight w:val="none"/>
          <w:lang w:val="en-US" w:eastAsia="zh-CN"/>
        </w:rPr>
        <w:t>1500</w:t>
      </w:r>
      <w:r>
        <w:rPr>
          <w:rFonts w:hint="eastAsia" w:ascii="仿宋_GB2312" w:hAnsi="仿宋_GB2312" w:eastAsia="仿宋_GB2312" w:cs="仿宋_GB2312"/>
          <w:color w:val="auto"/>
          <w:sz w:val="32"/>
          <w:szCs w:val="32"/>
          <w:highlight w:val="none"/>
        </w:rPr>
        <w:t>万元；</w:t>
      </w:r>
    </w:p>
    <w:p w14:paraId="197874AC">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5．污水处理费收入</w:t>
      </w:r>
      <w:r>
        <w:rPr>
          <w:rFonts w:hint="eastAsia" w:ascii="仿宋_GB2312" w:hAnsi="仿宋_GB2312" w:eastAsia="仿宋_GB2312" w:cs="仿宋_GB2312"/>
          <w:color w:val="auto"/>
          <w:sz w:val="32"/>
          <w:szCs w:val="32"/>
          <w:highlight w:val="none"/>
          <w:lang w:val="en-US" w:eastAsia="zh-CN"/>
        </w:rPr>
        <w:t>950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p>
    <w:p w14:paraId="704D08A3">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二、上级补助收入项目情况</w:t>
      </w:r>
    </w:p>
    <w:p w14:paraId="50E9EAD8">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1.国家电影事业发展专项资金补助地方资金2万元； </w:t>
      </w:r>
    </w:p>
    <w:p w14:paraId="56DF5188">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2.大中型水库移民后扶资金848</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p>
    <w:p w14:paraId="57FCF4FC">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3.彩票公益金259万元。</w:t>
      </w:r>
    </w:p>
    <w:bookmarkEnd w:id="14"/>
    <w:p w14:paraId="7ACA6242">
      <w:pPr>
        <w:widowControl/>
        <w:jc w:val="left"/>
        <w:rPr>
          <w:rFonts w:hint="eastAsia" w:ascii="黑体" w:hAnsi="黑体" w:eastAsia="黑体" w:cs="黑体"/>
          <w:kern w:val="0"/>
          <w:sz w:val="32"/>
          <w:szCs w:val="32"/>
        </w:rPr>
      </w:pPr>
      <w:bookmarkStart w:id="15" w:name="RANGE!A1:C17"/>
      <w:r>
        <w:rPr>
          <w:rFonts w:hint="eastAsia" w:ascii="黑体" w:hAnsi="黑体" w:eastAsia="黑体" w:cs="黑体"/>
          <w:kern w:val="0"/>
          <w:sz w:val="32"/>
          <w:szCs w:val="32"/>
        </w:rPr>
        <w:br w:type="page"/>
      </w:r>
    </w:p>
    <w:tbl>
      <w:tblPr>
        <w:tblStyle w:val="20"/>
        <w:tblW w:w="9057" w:type="dxa"/>
        <w:jc w:val="center"/>
        <w:tblLayout w:type="fixed"/>
        <w:tblCellMar>
          <w:top w:w="0" w:type="dxa"/>
          <w:left w:w="108" w:type="dxa"/>
          <w:bottom w:w="0" w:type="dxa"/>
          <w:right w:w="108" w:type="dxa"/>
        </w:tblCellMar>
      </w:tblPr>
      <w:tblGrid>
        <w:gridCol w:w="6025"/>
        <w:gridCol w:w="1514"/>
        <w:gridCol w:w="1518"/>
      </w:tblGrid>
      <w:tr w14:paraId="7CC08DD6">
        <w:tblPrEx>
          <w:tblCellMar>
            <w:top w:w="0" w:type="dxa"/>
            <w:left w:w="108" w:type="dxa"/>
            <w:bottom w:w="0" w:type="dxa"/>
            <w:right w:w="108" w:type="dxa"/>
          </w:tblCellMar>
        </w:tblPrEx>
        <w:trPr>
          <w:cantSplit/>
          <w:trHeight w:val="0" w:hRule="atLeast"/>
          <w:jc w:val="center"/>
        </w:trPr>
        <w:tc>
          <w:tcPr>
            <w:tcW w:w="6025" w:type="dxa"/>
            <w:tcBorders>
              <w:top w:val="nil"/>
              <w:left w:val="nil"/>
              <w:bottom w:val="nil"/>
              <w:right w:val="nil"/>
            </w:tcBorders>
            <w:shd w:val="clear" w:color="auto" w:fill="auto"/>
            <w:vAlign w:val="center"/>
          </w:tcPr>
          <w:p w14:paraId="40EC5747">
            <w:pPr>
              <w:widowControl/>
              <w:jc w:val="left"/>
              <w:rPr>
                <w:rFonts w:hint="eastAsia" w:ascii="宋体" w:hAnsi="宋体" w:eastAsia="黑体" w:cs="宋体"/>
                <w:kern w:val="0"/>
                <w:sz w:val="24"/>
                <w:szCs w:val="24"/>
                <w:lang w:val="en-US" w:eastAsia="zh-CN"/>
              </w:rPr>
            </w:pPr>
            <w:r>
              <w:rPr>
                <w:rFonts w:hint="eastAsia" w:ascii="黑体" w:hAnsi="黑体" w:eastAsia="黑体" w:cs="黑体"/>
                <w:kern w:val="0"/>
                <w:sz w:val="32"/>
                <w:szCs w:val="32"/>
              </w:rPr>
              <w:t>表十</w:t>
            </w:r>
            <w:bookmarkEnd w:id="15"/>
            <w:r>
              <w:rPr>
                <w:rFonts w:hint="eastAsia" w:ascii="黑体" w:hAnsi="黑体" w:eastAsia="黑体" w:cs="黑体"/>
                <w:kern w:val="0"/>
                <w:sz w:val="32"/>
                <w:szCs w:val="32"/>
                <w:lang w:val="en-US" w:eastAsia="zh-CN"/>
              </w:rPr>
              <w:t>五</w:t>
            </w:r>
          </w:p>
        </w:tc>
        <w:tc>
          <w:tcPr>
            <w:tcW w:w="1514" w:type="dxa"/>
            <w:tcBorders>
              <w:top w:val="nil"/>
              <w:left w:val="nil"/>
              <w:bottom w:val="nil"/>
              <w:right w:val="nil"/>
            </w:tcBorders>
            <w:shd w:val="clear" w:color="auto" w:fill="auto"/>
            <w:vAlign w:val="center"/>
          </w:tcPr>
          <w:p w14:paraId="2266F5C5">
            <w:pPr>
              <w:widowControl/>
              <w:jc w:val="center"/>
              <w:rPr>
                <w:rFonts w:hint="eastAsia" w:ascii="宋体" w:hAnsi="宋体" w:eastAsia="宋体" w:cs="宋体"/>
                <w:kern w:val="0"/>
                <w:sz w:val="24"/>
                <w:szCs w:val="24"/>
              </w:rPr>
            </w:pPr>
          </w:p>
        </w:tc>
        <w:tc>
          <w:tcPr>
            <w:tcW w:w="1518" w:type="dxa"/>
            <w:tcBorders>
              <w:top w:val="nil"/>
              <w:left w:val="nil"/>
              <w:bottom w:val="nil"/>
              <w:right w:val="nil"/>
            </w:tcBorders>
            <w:shd w:val="clear" w:color="auto" w:fill="auto"/>
            <w:vAlign w:val="center"/>
          </w:tcPr>
          <w:p w14:paraId="6D4A3BBF">
            <w:pPr>
              <w:widowControl/>
              <w:jc w:val="left"/>
              <w:rPr>
                <w:rFonts w:hint="eastAsia" w:ascii="宋体" w:hAnsi="宋体" w:eastAsia="宋体" w:cs="宋体"/>
                <w:kern w:val="0"/>
                <w:sz w:val="24"/>
                <w:szCs w:val="24"/>
              </w:rPr>
            </w:pPr>
          </w:p>
        </w:tc>
      </w:tr>
      <w:tr w14:paraId="47CFCF99">
        <w:tblPrEx>
          <w:tblCellMar>
            <w:top w:w="0" w:type="dxa"/>
            <w:left w:w="108" w:type="dxa"/>
            <w:bottom w:w="0" w:type="dxa"/>
            <w:right w:w="108" w:type="dxa"/>
          </w:tblCellMar>
        </w:tblPrEx>
        <w:trPr>
          <w:cantSplit/>
          <w:trHeight w:val="0" w:hRule="atLeast"/>
          <w:jc w:val="center"/>
        </w:trPr>
        <w:tc>
          <w:tcPr>
            <w:tcW w:w="9057" w:type="dxa"/>
            <w:gridSpan w:val="3"/>
            <w:tcBorders>
              <w:top w:val="nil"/>
              <w:left w:val="nil"/>
              <w:bottom w:val="nil"/>
              <w:right w:val="nil"/>
            </w:tcBorders>
            <w:shd w:val="clear" w:color="auto" w:fill="auto"/>
            <w:vAlign w:val="center"/>
          </w:tcPr>
          <w:p w14:paraId="3ADF8D2F">
            <w:pPr>
              <w:pStyle w:val="48"/>
              <w:rPr>
                <w:rFonts w:hint="eastAsia" w:ascii="宋体" w:hAnsi="宋体" w:eastAsia="宋体" w:cs="宋体"/>
                <w:sz w:val="24"/>
                <w:szCs w:val="24"/>
              </w:rPr>
            </w:pPr>
            <w:r>
              <w:rPr>
                <w:rFonts w:hint="eastAsia" w:ascii="方正小标宋简体" w:hAnsi="方正小标宋简体" w:eastAsia="方正小标宋简体" w:cs="方正小标宋简体"/>
                <w:sz w:val="44"/>
                <w:szCs w:val="44"/>
                <w:highlight w:val="none"/>
              </w:rPr>
              <w:t>202</w:t>
            </w:r>
            <w:r>
              <w:rPr>
                <w:rFonts w:hint="eastAsia" w:hAnsi="方正小标宋简体" w:cs="方正小标宋简体"/>
                <w:sz w:val="44"/>
                <w:szCs w:val="44"/>
                <w:highlight w:val="none"/>
                <w:lang w:val="en-US" w:eastAsia="zh-CN"/>
              </w:rPr>
              <w:t>6</w:t>
            </w:r>
            <w:r>
              <w:rPr>
                <w:rFonts w:hint="eastAsia" w:ascii="方正小标宋简体" w:hAnsi="方正小标宋简体" w:eastAsia="方正小标宋简体" w:cs="方正小标宋简体"/>
                <w:sz w:val="44"/>
                <w:szCs w:val="44"/>
              </w:rPr>
              <w:t>年政府性基金支出预算表</w:t>
            </w:r>
          </w:p>
        </w:tc>
      </w:tr>
      <w:tr w14:paraId="6F056048">
        <w:tblPrEx>
          <w:tblCellMar>
            <w:top w:w="0" w:type="dxa"/>
            <w:left w:w="108" w:type="dxa"/>
            <w:bottom w:w="0" w:type="dxa"/>
            <w:right w:w="108" w:type="dxa"/>
          </w:tblCellMar>
        </w:tblPrEx>
        <w:trPr>
          <w:cantSplit/>
          <w:trHeight w:val="0" w:hRule="atLeast"/>
          <w:jc w:val="center"/>
        </w:trPr>
        <w:tc>
          <w:tcPr>
            <w:tcW w:w="6025" w:type="dxa"/>
            <w:tcBorders>
              <w:top w:val="nil"/>
              <w:left w:val="nil"/>
              <w:bottom w:val="nil"/>
              <w:right w:val="nil"/>
            </w:tcBorders>
            <w:shd w:val="clear" w:color="auto" w:fill="auto"/>
            <w:vAlign w:val="center"/>
          </w:tcPr>
          <w:p w14:paraId="2B119CE0">
            <w:pPr>
              <w:widowControl/>
              <w:jc w:val="center"/>
              <w:rPr>
                <w:rFonts w:hint="eastAsia" w:ascii="宋体" w:hAnsi="宋体" w:eastAsia="宋体" w:cs="宋体"/>
                <w:kern w:val="0"/>
                <w:sz w:val="24"/>
                <w:szCs w:val="24"/>
              </w:rPr>
            </w:pPr>
          </w:p>
        </w:tc>
        <w:tc>
          <w:tcPr>
            <w:tcW w:w="1514" w:type="dxa"/>
            <w:tcBorders>
              <w:top w:val="nil"/>
              <w:left w:val="nil"/>
              <w:bottom w:val="nil"/>
              <w:right w:val="nil"/>
            </w:tcBorders>
            <w:shd w:val="clear" w:color="auto" w:fill="auto"/>
            <w:vAlign w:val="center"/>
          </w:tcPr>
          <w:p w14:paraId="1CB103A9">
            <w:pPr>
              <w:widowControl/>
              <w:jc w:val="center"/>
              <w:rPr>
                <w:rFonts w:hint="eastAsia" w:ascii="宋体" w:hAnsi="宋体" w:eastAsia="宋体" w:cs="宋体"/>
                <w:kern w:val="0"/>
                <w:sz w:val="24"/>
                <w:szCs w:val="24"/>
              </w:rPr>
            </w:pPr>
          </w:p>
        </w:tc>
        <w:tc>
          <w:tcPr>
            <w:tcW w:w="1518" w:type="dxa"/>
            <w:tcBorders>
              <w:top w:val="nil"/>
              <w:left w:val="nil"/>
              <w:bottom w:val="nil"/>
              <w:right w:val="nil"/>
            </w:tcBorders>
            <w:shd w:val="clear" w:color="auto" w:fill="auto"/>
            <w:vAlign w:val="center"/>
          </w:tcPr>
          <w:p w14:paraId="7F00B961">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单位：万元</w:t>
            </w:r>
          </w:p>
        </w:tc>
      </w:tr>
      <w:tr w14:paraId="4554E8CB">
        <w:tblPrEx>
          <w:tblCellMar>
            <w:top w:w="0" w:type="dxa"/>
            <w:left w:w="108" w:type="dxa"/>
            <w:bottom w:w="0" w:type="dxa"/>
            <w:right w:w="108" w:type="dxa"/>
          </w:tblCellMar>
        </w:tblPrEx>
        <w:trPr>
          <w:cantSplit/>
          <w:trHeight w:val="850" w:hRule="exact"/>
          <w:jc w:val="center"/>
        </w:trPr>
        <w:tc>
          <w:tcPr>
            <w:tcW w:w="6025" w:type="dxa"/>
            <w:tcBorders>
              <w:top w:val="single" w:color="auto" w:sz="4" w:space="0"/>
              <w:left w:val="single" w:color="auto" w:sz="4" w:space="0"/>
              <w:bottom w:val="single" w:color="auto" w:sz="4" w:space="0"/>
              <w:right w:val="single" w:color="auto" w:sz="4" w:space="0"/>
            </w:tcBorders>
            <w:shd w:val="clear" w:color="auto" w:fill="auto"/>
            <w:vAlign w:val="center"/>
          </w:tcPr>
          <w:p w14:paraId="2AAEBBF2">
            <w:pPr>
              <w:widowControl/>
              <w:spacing w:line="392"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 目</w:t>
            </w:r>
          </w:p>
        </w:tc>
        <w:tc>
          <w:tcPr>
            <w:tcW w:w="1514" w:type="dxa"/>
            <w:tcBorders>
              <w:top w:val="single" w:color="auto" w:sz="4" w:space="0"/>
              <w:left w:val="nil"/>
              <w:bottom w:val="single" w:color="auto" w:sz="4" w:space="0"/>
              <w:right w:val="single" w:color="auto" w:sz="4" w:space="0"/>
            </w:tcBorders>
            <w:shd w:val="clear" w:color="auto" w:fill="auto"/>
            <w:vAlign w:val="center"/>
          </w:tcPr>
          <w:p w14:paraId="035BF70C">
            <w:pPr>
              <w:widowControl/>
              <w:spacing w:line="392"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预算数</w:t>
            </w:r>
          </w:p>
        </w:tc>
        <w:tc>
          <w:tcPr>
            <w:tcW w:w="1518" w:type="dxa"/>
            <w:tcBorders>
              <w:top w:val="single" w:color="auto" w:sz="4" w:space="0"/>
              <w:left w:val="nil"/>
              <w:bottom w:val="single" w:color="auto" w:sz="4" w:space="0"/>
              <w:right w:val="single" w:color="auto" w:sz="4" w:space="0"/>
            </w:tcBorders>
            <w:shd w:val="clear" w:color="auto" w:fill="auto"/>
            <w:vAlign w:val="center"/>
          </w:tcPr>
          <w:p w14:paraId="02B664AE">
            <w:pPr>
              <w:widowControl/>
              <w:spacing w:line="392"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备</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注</w:t>
            </w:r>
          </w:p>
        </w:tc>
      </w:tr>
      <w:tr w14:paraId="1B559C2C">
        <w:tblPrEx>
          <w:tblCellMar>
            <w:top w:w="0" w:type="dxa"/>
            <w:left w:w="108" w:type="dxa"/>
            <w:bottom w:w="0" w:type="dxa"/>
            <w:right w:w="108" w:type="dxa"/>
          </w:tblCellMar>
        </w:tblPrEx>
        <w:trPr>
          <w:cantSplit/>
          <w:trHeight w:val="850" w:hRule="exact"/>
          <w:jc w:val="center"/>
        </w:trPr>
        <w:tc>
          <w:tcPr>
            <w:tcW w:w="6025" w:type="dxa"/>
            <w:tcBorders>
              <w:top w:val="single" w:color="auto" w:sz="4" w:space="0"/>
              <w:left w:val="single" w:color="auto" w:sz="4" w:space="0"/>
              <w:bottom w:val="single" w:color="auto" w:sz="4" w:space="0"/>
              <w:right w:val="single" w:color="auto" w:sz="4" w:space="0"/>
            </w:tcBorders>
            <w:shd w:val="clear" w:color="auto" w:fill="auto"/>
            <w:vAlign w:val="center"/>
          </w:tcPr>
          <w:p w14:paraId="62AE227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文化旅游体育与传媒支出</w:t>
            </w:r>
          </w:p>
        </w:tc>
        <w:tc>
          <w:tcPr>
            <w:tcW w:w="1514" w:type="dxa"/>
            <w:tcBorders>
              <w:top w:val="nil"/>
              <w:left w:val="nil"/>
              <w:bottom w:val="single" w:color="auto" w:sz="4" w:space="0"/>
              <w:right w:val="single" w:color="auto" w:sz="4" w:space="0"/>
            </w:tcBorders>
            <w:shd w:val="clear" w:color="000000" w:fill="FFFFFF"/>
            <w:vAlign w:val="center"/>
          </w:tcPr>
          <w:p w14:paraId="66CA3D1F">
            <w:pPr>
              <w:widowControl/>
              <w:spacing w:line="392" w:lineRule="exact"/>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w:t>
            </w:r>
          </w:p>
        </w:tc>
        <w:tc>
          <w:tcPr>
            <w:tcW w:w="1518" w:type="dxa"/>
            <w:tcBorders>
              <w:top w:val="nil"/>
              <w:left w:val="nil"/>
              <w:bottom w:val="single" w:color="auto" w:sz="4" w:space="0"/>
              <w:right w:val="single" w:color="auto" w:sz="4" w:space="0"/>
            </w:tcBorders>
            <w:shd w:val="clear" w:color="auto" w:fill="auto"/>
            <w:vAlign w:val="center"/>
          </w:tcPr>
          <w:p w14:paraId="106C3F57">
            <w:pPr>
              <w:widowControl/>
              <w:spacing w:line="392" w:lineRule="exact"/>
              <w:jc w:val="left"/>
              <w:rPr>
                <w:rFonts w:hint="eastAsia" w:ascii="宋体" w:hAnsi="宋体" w:eastAsia="宋体" w:cs="宋体"/>
                <w:kern w:val="0"/>
                <w:sz w:val="24"/>
                <w:szCs w:val="24"/>
              </w:rPr>
            </w:pPr>
          </w:p>
        </w:tc>
      </w:tr>
      <w:tr w14:paraId="09DF4CDA">
        <w:tblPrEx>
          <w:tblCellMar>
            <w:top w:w="0" w:type="dxa"/>
            <w:left w:w="108" w:type="dxa"/>
            <w:bottom w:w="0" w:type="dxa"/>
            <w:right w:w="108" w:type="dxa"/>
          </w:tblCellMar>
        </w:tblPrEx>
        <w:trPr>
          <w:cantSplit/>
          <w:trHeight w:val="850" w:hRule="exact"/>
          <w:jc w:val="center"/>
        </w:trPr>
        <w:tc>
          <w:tcPr>
            <w:tcW w:w="6025" w:type="dxa"/>
            <w:tcBorders>
              <w:top w:val="single" w:color="auto" w:sz="4" w:space="0"/>
              <w:left w:val="single" w:color="auto" w:sz="4" w:space="0"/>
              <w:bottom w:val="single" w:color="auto" w:sz="4" w:space="0"/>
              <w:right w:val="single" w:color="auto" w:sz="4" w:space="0"/>
            </w:tcBorders>
            <w:shd w:val="clear" w:color="auto" w:fill="auto"/>
            <w:vAlign w:val="center"/>
          </w:tcPr>
          <w:p w14:paraId="20CE0CE0">
            <w:pPr>
              <w:widowControl/>
              <w:spacing w:line="392" w:lineRule="exact"/>
              <w:jc w:val="left"/>
              <w:rPr>
                <w:rFonts w:hint="eastAsia" w:ascii="宋体" w:hAnsi="宋体" w:eastAsia="宋体" w:cs="宋体"/>
                <w:kern w:val="0"/>
                <w:sz w:val="24"/>
                <w:szCs w:val="24"/>
              </w:rPr>
            </w:pPr>
            <w:r>
              <w:rPr>
                <w:rFonts w:hint="eastAsia" w:ascii="宋体" w:hAnsi="宋体" w:eastAsia="宋体" w:cs="宋体"/>
                <w:kern w:val="0"/>
                <w:sz w:val="24"/>
                <w:szCs w:val="24"/>
              </w:rPr>
              <w:t>城乡社区支出</w:t>
            </w:r>
          </w:p>
        </w:tc>
        <w:tc>
          <w:tcPr>
            <w:tcW w:w="1514" w:type="dxa"/>
            <w:tcBorders>
              <w:top w:val="nil"/>
              <w:left w:val="nil"/>
              <w:bottom w:val="single" w:color="auto" w:sz="4" w:space="0"/>
              <w:right w:val="single" w:color="auto" w:sz="4" w:space="0"/>
            </w:tcBorders>
            <w:shd w:val="clear" w:color="000000" w:fill="FFFFFF"/>
            <w:vAlign w:val="center"/>
          </w:tcPr>
          <w:p w14:paraId="3DCEA3C0">
            <w:pPr>
              <w:widowControl/>
              <w:spacing w:line="392" w:lineRule="exact"/>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76387</w:t>
            </w:r>
          </w:p>
        </w:tc>
        <w:tc>
          <w:tcPr>
            <w:tcW w:w="1518" w:type="dxa"/>
            <w:tcBorders>
              <w:top w:val="nil"/>
              <w:left w:val="nil"/>
              <w:bottom w:val="single" w:color="auto" w:sz="4" w:space="0"/>
              <w:right w:val="single" w:color="auto" w:sz="4" w:space="0"/>
            </w:tcBorders>
            <w:shd w:val="clear" w:color="auto" w:fill="auto"/>
            <w:vAlign w:val="center"/>
          </w:tcPr>
          <w:p w14:paraId="27163DE0">
            <w:pPr>
              <w:widowControl/>
              <w:spacing w:line="392" w:lineRule="exact"/>
              <w:jc w:val="left"/>
              <w:rPr>
                <w:rFonts w:hint="eastAsia" w:ascii="宋体" w:hAnsi="宋体" w:eastAsia="宋体" w:cs="宋体"/>
                <w:kern w:val="0"/>
                <w:sz w:val="24"/>
                <w:szCs w:val="24"/>
              </w:rPr>
            </w:pPr>
          </w:p>
        </w:tc>
      </w:tr>
      <w:tr w14:paraId="361DD0D3">
        <w:tblPrEx>
          <w:tblCellMar>
            <w:top w:w="0" w:type="dxa"/>
            <w:left w:w="108" w:type="dxa"/>
            <w:bottom w:w="0" w:type="dxa"/>
            <w:right w:w="108" w:type="dxa"/>
          </w:tblCellMar>
        </w:tblPrEx>
        <w:trPr>
          <w:cantSplit/>
          <w:trHeight w:val="850" w:hRule="exact"/>
          <w:jc w:val="center"/>
        </w:trPr>
        <w:tc>
          <w:tcPr>
            <w:tcW w:w="6025" w:type="dxa"/>
            <w:tcBorders>
              <w:top w:val="single" w:color="auto" w:sz="4" w:space="0"/>
              <w:left w:val="single" w:color="auto" w:sz="4" w:space="0"/>
              <w:bottom w:val="single" w:color="auto" w:sz="4" w:space="0"/>
              <w:right w:val="single" w:color="auto" w:sz="4" w:space="0"/>
            </w:tcBorders>
            <w:shd w:val="clear" w:color="auto" w:fill="auto"/>
            <w:vAlign w:val="center"/>
          </w:tcPr>
          <w:p w14:paraId="643AD9C7">
            <w:pPr>
              <w:widowControl/>
              <w:spacing w:line="392" w:lineRule="exact"/>
              <w:jc w:val="left"/>
              <w:rPr>
                <w:rFonts w:hint="eastAsia" w:ascii="宋体" w:hAnsi="宋体" w:eastAsia="宋体" w:cs="宋体"/>
                <w:kern w:val="0"/>
                <w:sz w:val="24"/>
                <w:szCs w:val="24"/>
              </w:rPr>
            </w:pPr>
            <w:r>
              <w:rPr>
                <w:rFonts w:hint="eastAsia" w:ascii="宋体" w:hAnsi="宋体" w:eastAsia="宋体" w:cs="宋体"/>
                <w:kern w:val="0"/>
                <w:sz w:val="24"/>
                <w:szCs w:val="24"/>
              </w:rPr>
              <w:t>农林水支出</w:t>
            </w:r>
          </w:p>
        </w:tc>
        <w:tc>
          <w:tcPr>
            <w:tcW w:w="1514" w:type="dxa"/>
            <w:tcBorders>
              <w:top w:val="nil"/>
              <w:left w:val="nil"/>
              <w:bottom w:val="single" w:color="auto" w:sz="4" w:space="0"/>
              <w:right w:val="single" w:color="auto" w:sz="4" w:space="0"/>
            </w:tcBorders>
            <w:shd w:val="clear" w:color="000000" w:fill="FFFFFF"/>
            <w:vAlign w:val="center"/>
          </w:tcPr>
          <w:p w14:paraId="0270CDBE">
            <w:pPr>
              <w:widowControl/>
              <w:spacing w:line="392" w:lineRule="exact"/>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12882</w:t>
            </w:r>
          </w:p>
        </w:tc>
        <w:tc>
          <w:tcPr>
            <w:tcW w:w="1518" w:type="dxa"/>
            <w:tcBorders>
              <w:top w:val="nil"/>
              <w:left w:val="nil"/>
              <w:bottom w:val="single" w:color="auto" w:sz="4" w:space="0"/>
              <w:right w:val="single" w:color="auto" w:sz="4" w:space="0"/>
            </w:tcBorders>
            <w:shd w:val="clear" w:color="auto" w:fill="auto"/>
            <w:vAlign w:val="center"/>
          </w:tcPr>
          <w:p w14:paraId="286922AC">
            <w:pPr>
              <w:widowControl/>
              <w:spacing w:line="392" w:lineRule="exact"/>
              <w:jc w:val="left"/>
              <w:rPr>
                <w:rFonts w:hint="eastAsia" w:ascii="宋体" w:hAnsi="宋体" w:eastAsia="宋体" w:cs="宋体"/>
                <w:kern w:val="0"/>
                <w:sz w:val="24"/>
                <w:szCs w:val="24"/>
              </w:rPr>
            </w:pPr>
          </w:p>
        </w:tc>
      </w:tr>
      <w:tr w14:paraId="2353C32A">
        <w:tblPrEx>
          <w:tblCellMar>
            <w:top w:w="0" w:type="dxa"/>
            <w:left w:w="108" w:type="dxa"/>
            <w:bottom w:w="0" w:type="dxa"/>
            <w:right w:w="108" w:type="dxa"/>
          </w:tblCellMar>
        </w:tblPrEx>
        <w:trPr>
          <w:cantSplit/>
          <w:trHeight w:val="850" w:hRule="exact"/>
          <w:jc w:val="center"/>
        </w:trPr>
        <w:tc>
          <w:tcPr>
            <w:tcW w:w="6025" w:type="dxa"/>
            <w:tcBorders>
              <w:top w:val="single" w:color="auto" w:sz="4" w:space="0"/>
              <w:left w:val="single" w:color="auto" w:sz="4" w:space="0"/>
              <w:bottom w:val="single" w:color="auto" w:sz="4" w:space="0"/>
              <w:right w:val="single" w:color="auto" w:sz="4" w:space="0"/>
            </w:tcBorders>
            <w:shd w:val="clear" w:color="auto" w:fill="auto"/>
            <w:vAlign w:val="center"/>
          </w:tcPr>
          <w:p w14:paraId="0503CC10">
            <w:pPr>
              <w:widowControl/>
              <w:spacing w:line="392" w:lineRule="exact"/>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住房保障支出</w:t>
            </w:r>
          </w:p>
        </w:tc>
        <w:tc>
          <w:tcPr>
            <w:tcW w:w="1514" w:type="dxa"/>
            <w:tcBorders>
              <w:top w:val="nil"/>
              <w:left w:val="nil"/>
              <w:bottom w:val="single" w:color="auto" w:sz="4" w:space="0"/>
              <w:right w:val="single" w:color="auto" w:sz="4" w:space="0"/>
            </w:tcBorders>
            <w:shd w:val="clear" w:color="000000" w:fill="FFFFFF"/>
            <w:vAlign w:val="center"/>
          </w:tcPr>
          <w:p w14:paraId="6FC1969D">
            <w:pPr>
              <w:widowControl/>
              <w:spacing w:line="392" w:lineRule="exact"/>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600</w:t>
            </w:r>
          </w:p>
        </w:tc>
        <w:tc>
          <w:tcPr>
            <w:tcW w:w="1518" w:type="dxa"/>
            <w:tcBorders>
              <w:top w:val="nil"/>
              <w:left w:val="nil"/>
              <w:bottom w:val="single" w:color="auto" w:sz="4" w:space="0"/>
              <w:right w:val="single" w:color="auto" w:sz="4" w:space="0"/>
            </w:tcBorders>
            <w:shd w:val="clear" w:color="auto" w:fill="auto"/>
            <w:vAlign w:val="center"/>
          </w:tcPr>
          <w:p w14:paraId="62A9478F">
            <w:pPr>
              <w:widowControl/>
              <w:spacing w:line="392" w:lineRule="exact"/>
              <w:jc w:val="left"/>
              <w:rPr>
                <w:rFonts w:hint="eastAsia" w:ascii="宋体" w:hAnsi="宋体" w:eastAsia="宋体" w:cs="宋体"/>
                <w:kern w:val="0"/>
                <w:sz w:val="24"/>
                <w:szCs w:val="24"/>
              </w:rPr>
            </w:pPr>
          </w:p>
        </w:tc>
      </w:tr>
      <w:tr w14:paraId="045256F6">
        <w:tblPrEx>
          <w:tblCellMar>
            <w:top w:w="0" w:type="dxa"/>
            <w:left w:w="108" w:type="dxa"/>
            <w:bottom w:w="0" w:type="dxa"/>
            <w:right w:w="108" w:type="dxa"/>
          </w:tblCellMar>
        </w:tblPrEx>
        <w:trPr>
          <w:cantSplit/>
          <w:trHeight w:val="850" w:hRule="exact"/>
          <w:jc w:val="center"/>
        </w:trPr>
        <w:tc>
          <w:tcPr>
            <w:tcW w:w="6025" w:type="dxa"/>
            <w:tcBorders>
              <w:top w:val="nil"/>
              <w:left w:val="single" w:color="auto" w:sz="4" w:space="0"/>
              <w:bottom w:val="single" w:color="auto" w:sz="4" w:space="0"/>
              <w:right w:val="single" w:color="auto" w:sz="4" w:space="0"/>
            </w:tcBorders>
            <w:shd w:val="clear" w:color="auto" w:fill="auto"/>
            <w:vAlign w:val="center"/>
          </w:tcPr>
          <w:p w14:paraId="51EFDB1B">
            <w:pPr>
              <w:widowControl/>
              <w:spacing w:line="392" w:lineRule="exact"/>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其他支出</w:t>
            </w:r>
          </w:p>
        </w:tc>
        <w:tc>
          <w:tcPr>
            <w:tcW w:w="1514" w:type="dxa"/>
            <w:tcBorders>
              <w:top w:val="nil"/>
              <w:left w:val="nil"/>
              <w:bottom w:val="single" w:color="auto" w:sz="4" w:space="0"/>
              <w:right w:val="single" w:color="auto" w:sz="4" w:space="0"/>
            </w:tcBorders>
            <w:shd w:val="clear" w:color="auto" w:fill="auto"/>
            <w:vAlign w:val="center"/>
          </w:tcPr>
          <w:p w14:paraId="3648F750">
            <w:pPr>
              <w:widowControl/>
              <w:spacing w:line="392" w:lineRule="exac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86868</w:t>
            </w:r>
          </w:p>
        </w:tc>
        <w:tc>
          <w:tcPr>
            <w:tcW w:w="1518" w:type="dxa"/>
            <w:tcBorders>
              <w:top w:val="nil"/>
              <w:left w:val="nil"/>
              <w:bottom w:val="single" w:color="auto" w:sz="4" w:space="0"/>
              <w:right w:val="single" w:color="auto" w:sz="4" w:space="0"/>
            </w:tcBorders>
            <w:shd w:val="clear" w:color="auto" w:fill="auto"/>
            <w:vAlign w:val="center"/>
          </w:tcPr>
          <w:p w14:paraId="54339247">
            <w:pPr>
              <w:widowControl/>
              <w:spacing w:line="392" w:lineRule="exact"/>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572BA3F9">
        <w:tblPrEx>
          <w:tblCellMar>
            <w:top w:w="0" w:type="dxa"/>
            <w:left w:w="108" w:type="dxa"/>
            <w:bottom w:w="0" w:type="dxa"/>
            <w:right w:w="108" w:type="dxa"/>
          </w:tblCellMar>
        </w:tblPrEx>
        <w:trPr>
          <w:cantSplit/>
          <w:trHeight w:val="850" w:hRule="exact"/>
          <w:jc w:val="center"/>
        </w:trPr>
        <w:tc>
          <w:tcPr>
            <w:tcW w:w="6025" w:type="dxa"/>
            <w:tcBorders>
              <w:top w:val="single" w:color="auto" w:sz="4" w:space="0"/>
              <w:left w:val="single" w:color="auto" w:sz="4" w:space="0"/>
              <w:bottom w:val="single" w:color="auto" w:sz="4" w:space="0"/>
              <w:right w:val="single" w:color="auto" w:sz="4" w:space="0"/>
            </w:tcBorders>
            <w:shd w:val="clear" w:color="auto" w:fill="auto"/>
            <w:vAlign w:val="center"/>
          </w:tcPr>
          <w:p w14:paraId="4503619D">
            <w:pPr>
              <w:widowControl/>
              <w:spacing w:line="392" w:lineRule="exact"/>
              <w:jc w:val="left"/>
              <w:rPr>
                <w:rFonts w:hint="eastAsia" w:ascii="宋体" w:hAnsi="宋体" w:eastAsia="宋体" w:cs="宋体"/>
                <w:kern w:val="0"/>
                <w:sz w:val="24"/>
                <w:szCs w:val="24"/>
              </w:rPr>
            </w:pPr>
            <w:r>
              <w:rPr>
                <w:rFonts w:hint="eastAsia" w:ascii="宋体" w:hAnsi="宋体" w:eastAsia="宋体" w:cs="宋体"/>
                <w:kern w:val="0"/>
                <w:sz w:val="24"/>
                <w:szCs w:val="24"/>
              </w:rPr>
              <w:t>债务付息支出</w:t>
            </w:r>
          </w:p>
        </w:tc>
        <w:tc>
          <w:tcPr>
            <w:tcW w:w="1514" w:type="dxa"/>
            <w:tcBorders>
              <w:top w:val="single" w:color="auto" w:sz="4" w:space="0"/>
              <w:left w:val="single" w:color="auto" w:sz="4" w:space="0"/>
              <w:bottom w:val="single" w:color="auto" w:sz="4" w:space="0"/>
              <w:right w:val="single" w:color="auto" w:sz="4" w:space="0"/>
            </w:tcBorders>
            <w:shd w:val="clear" w:color="auto" w:fill="auto"/>
            <w:vAlign w:val="center"/>
          </w:tcPr>
          <w:p w14:paraId="0F31A4A4">
            <w:pPr>
              <w:widowControl/>
              <w:spacing w:line="392" w:lineRule="exac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18886</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0D46F9C2">
            <w:pPr>
              <w:widowControl/>
              <w:spacing w:line="392" w:lineRule="exact"/>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1E61E195">
        <w:tblPrEx>
          <w:tblCellMar>
            <w:top w:w="0" w:type="dxa"/>
            <w:left w:w="108" w:type="dxa"/>
            <w:bottom w:w="0" w:type="dxa"/>
            <w:right w:w="108" w:type="dxa"/>
          </w:tblCellMar>
        </w:tblPrEx>
        <w:trPr>
          <w:cantSplit/>
          <w:trHeight w:val="850" w:hRule="exact"/>
          <w:jc w:val="center"/>
        </w:trPr>
        <w:tc>
          <w:tcPr>
            <w:tcW w:w="6025" w:type="dxa"/>
            <w:tcBorders>
              <w:top w:val="single" w:color="auto" w:sz="4" w:space="0"/>
              <w:left w:val="single" w:color="auto" w:sz="4" w:space="0"/>
              <w:bottom w:val="single" w:color="auto" w:sz="4" w:space="0"/>
              <w:right w:val="single" w:color="auto" w:sz="4" w:space="0"/>
            </w:tcBorders>
            <w:shd w:val="clear" w:color="auto" w:fill="auto"/>
            <w:vAlign w:val="center"/>
          </w:tcPr>
          <w:p w14:paraId="0087494C">
            <w:pPr>
              <w:widowControl/>
              <w:spacing w:line="392"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合      计</w:t>
            </w:r>
          </w:p>
        </w:tc>
        <w:tc>
          <w:tcPr>
            <w:tcW w:w="1514" w:type="dxa"/>
            <w:tcBorders>
              <w:top w:val="single" w:color="auto" w:sz="4" w:space="0"/>
              <w:left w:val="single" w:color="auto" w:sz="4" w:space="0"/>
              <w:bottom w:val="single" w:color="auto" w:sz="4" w:space="0"/>
              <w:right w:val="single" w:color="auto" w:sz="4" w:space="0"/>
            </w:tcBorders>
            <w:shd w:val="clear" w:color="auto" w:fill="auto"/>
            <w:vAlign w:val="center"/>
          </w:tcPr>
          <w:p w14:paraId="6018240F">
            <w:pPr>
              <w:widowControl/>
              <w:spacing w:line="392" w:lineRule="exac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195625</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0425C0AC">
            <w:pPr>
              <w:widowControl/>
              <w:spacing w:line="392" w:lineRule="exact"/>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bl>
    <w:p w14:paraId="4FCB538C">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29543148">
      <w:pPr>
        <w:pStyle w:val="48"/>
        <w:keepNext w:val="0"/>
        <w:keepLines w:val="0"/>
        <w:pageBreakBefore w:val="0"/>
        <w:widowControl w:val="0"/>
        <w:kinsoku/>
        <w:wordWrap/>
        <w:overflowPunct/>
        <w:topLinePunct w:val="0"/>
        <w:autoSpaceDE/>
        <w:autoSpaceDN/>
        <w:bidi w:val="0"/>
        <w:adjustRightInd/>
        <w:snapToGrid/>
        <w:spacing w:before="0" w:after="0" w:line="572" w:lineRule="exact"/>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关于202</w:t>
      </w:r>
      <w:r>
        <w:rPr>
          <w:rFonts w:hint="eastAsia" w:hAnsi="方正小标宋简体" w:cs="方正小标宋简体"/>
          <w:color w:val="auto"/>
          <w:sz w:val="44"/>
          <w:szCs w:val="44"/>
          <w:lang w:val="en-US" w:eastAsia="zh-CN"/>
        </w:rPr>
        <w:t>6</w:t>
      </w:r>
      <w:r>
        <w:rPr>
          <w:rFonts w:hint="eastAsia" w:ascii="方正小标宋简体" w:hAnsi="方正小标宋简体" w:eastAsia="方正小标宋简体" w:cs="方正小标宋简体"/>
          <w:color w:val="auto"/>
          <w:sz w:val="44"/>
          <w:szCs w:val="44"/>
        </w:rPr>
        <w:t>年政府性基金支出预算</w:t>
      </w:r>
    </w:p>
    <w:p w14:paraId="0F5862E4">
      <w:pPr>
        <w:pStyle w:val="48"/>
        <w:keepNext w:val="0"/>
        <w:keepLines w:val="0"/>
        <w:pageBreakBefore w:val="0"/>
        <w:widowControl w:val="0"/>
        <w:kinsoku/>
        <w:wordWrap/>
        <w:overflowPunct/>
        <w:topLinePunct w:val="0"/>
        <w:autoSpaceDE/>
        <w:autoSpaceDN/>
        <w:bidi w:val="0"/>
        <w:adjustRightInd/>
        <w:snapToGrid/>
        <w:spacing w:before="0" w:after="0" w:line="572" w:lineRule="exact"/>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情况的说明</w:t>
      </w:r>
    </w:p>
    <w:p w14:paraId="65C3476C">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rPr>
      </w:pPr>
    </w:p>
    <w:p w14:paraId="1CD87B67">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年政府性基金支出预算总计</w:t>
      </w:r>
      <w:r>
        <w:rPr>
          <w:rFonts w:hint="eastAsia" w:ascii="仿宋_GB2312" w:hAnsi="仿宋_GB2312" w:eastAsia="仿宋_GB2312" w:cs="仿宋_GB2312"/>
          <w:color w:val="auto"/>
          <w:sz w:val="32"/>
          <w:szCs w:val="32"/>
          <w:highlight w:val="none"/>
          <w:lang w:val="en-US" w:eastAsia="zh-CN"/>
        </w:rPr>
        <w:t>195625</w:t>
      </w:r>
      <w:r>
        <w:rPr>
          <w:rFonts w:hint="eastAsia" w:ascii="仿宋_GB2312" w:hAnsi="仿宋_GB2312" w:eastAsia="仿宋_GB2312" w:cs="仿宋_GB2312"/>
          <w:color w:val="auto"/>
          <w:sz w:val="32"/>
          <w:szCs w:val="32"/>
          <w:highlight w:val="none"/>
        </w:rPr>
        <w:t>万元，主要支出项目是：</w:t>
      </w:r>
    </w:p>
    <w:p w14:paraId="1EE5DFF8">
      <w:pPr>
        <w:keepNext w:val="0"/>
        <w:keepLines w:val="0"/>
        <w:pageBreakBefore w:val="0"/>
        <w:widowControl w:val="0"/>
        <w:numPr>
          <w:ilvl w:val="0"/>
          <w:numId w:val="4"/>
        </w:numPr>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文化旅游体育与传媒支出2万元；</w:t>
      </w:r>
    </w:p>
    <w:p w14:paraId="0266ECF6">
      <w:pPr>
        <w:keepNext w:val="0"/>
        <w:keepLines w:val="0"/>
        <w:pageBreakBefore w:val="0"/>
        <w:widowControl w:val="0"/>
        <w:numPr>
          <w:ilvl w:val="0"/>
          <w:numId w:val="4"/>
        </w:numPr>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城乡社区支出76387万元；</w:t>
      </w:r>
    </w:p>
    <w:p w14:paraId="1AD461D4">
      <w:pPr>
        <w:keepNext w:val="0"/>
        <w:keepLines w:val="0"/>
        <w:pageBreakBefore w:val="0"/>
        <w:widowControl w:val="0"/>
        <w:numPr>
          <w:ilvl w:val="0"/>
          <w:numId w:val="4"/>
        </w:numPr>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农林水支出12882万元；</w:t>
      </w:r>
    </w:p>
    <w:p w14:paraId="4F419FF3">
      <w:pPr>
        <w:keepNext w:val="0"/>
        <w:keepLines w:val="0"/>
        <w:pageBreakBefore w:val="0"/>
        <w:widowControl w:val="0"/>
        <w:numPr>
          <w:ilvl w:val="0"/>
          <w:numId w:val="4"/>
        </w:numPr>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住房保障支出600万元；</w:t>
      </w:r>
    </w:p>
    <w:p w14:paraId="00E34FD4">
      <w:pPr>
        <w:keepNext w:val="0"/>
        <w:keepLines w:val="0"/>
        <w:pageBreakBefore w:val="0"/>
        <w:widowControl w:val="0"/>
        <w:numPr>
          <w:ilvl w:val="0"/>
          <w:numId w:val="4"/>
        </w:numPr>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其他支出86868万元；</w:t>
      </w:r>
    </w:p>
    <w:p w14:paraId="46B62AF3">
      <w:pPr>
        <w:keepNext w:val="0"/>
        <w:keepLines w:val="0"/>
        <w:pageBreakBefore w:val="0"/>
        <w:widowControl w:val="0"/>
        <w:numPr>
          <w:ilvl w:val="0"/>
          <w:numId w:val="4"/>
        </w:numPr>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债务付息支出18886万元。</w:t>
      </w:r>
    </w:p>
    <w:p w14:paraId="450796DA">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br w:type="page"/>
      </w:r>
    </w:p>
    <w:tbl>
      <w:tblPr>
        <w:tblStyle w:val="20"/>
        <w:tblW w:w="8899" w:type="dxa"/>
        <w:jc w:val="center"/>
        <w:tblLayout w:type="fixed"/>
        <w:tblCellMar>
          <w:top w:w="0" w:type="dxa"/>
          <w:left w:w="108" w:type="dxa"/>
          <w:bottom w:w="0" w:type="dxa"/>
          <w:right w:w="108" w:type="dxa"/>
        </w:tblCellMar>
      </w:tblPr>
      <w:tblGrid>
        <w:gridCol w:w="5730"/>
        <w:gridCol w:w="3169"/>
      </w:tblGrid>
      <w:tr w14:paraId="3AA02BE2">
        <w:tblPrEx>
          <w:tblCellMar>
            <w:top w:w="0" w:type="dxa"/>
            <w:left w:w="108" w:type="dxa"/>
            <w:bottom w:w="0" w:type="dxa"/>
            <w:right w:w="108" w:type="dxa"/>
          </w:tblCellMar>
        </w:tblPrEx>
        <w:trPr>
          <w:trHeight w:val="409" w:hRule="atLeast"/>
          <w:jc w:val="center"/>
        </w:trPr>
        <w:tc>
          <w:tcPr>
            <w:tcW w:w="5730" w:type="dxa"/>
            <w:tcBorders>
              <w:top w:val="nil"/>
              <w:left w:val="nil"/>
              <w:bottom w:val="nil"/>
              <w:right w:val="nil"/>
            </w:tcBorders>
            <w:shd w:val="clear" w:color="auto" w:fill="auto"/>
            <w:vAlign w:val="center"/>
          </w:tcPr>
          <w:p w14:paraId="0085132C">
            <w:pPr>
              <w:widowControl/>
              <w:jc w:val="left"/>
              <w:rPr>
                <w:rFonts w:hint="eastAsia" w:ascii="宋体" w:hAnsi="宋体" w:eastAsia="黑体" w:cs="宋体"/>
                <w:kern w:val="0"/>
                <w:sz w:val="24"/>
                <w:szCs w:val="24"/>
                <w:lang w:eastAsia="zh-CN"/>
              </w:rPr>
            </w:pPr>
            <w:bookmarkStart w:id="16" w:name="RANGE!A1:B9"/>
            <w:r>
              <w:rPr>
                <w:rFonts w:hint="eastAsia" w:ascii="黑体" w:hAnsi="黑体" w:eastAsia="黑体" w:cs="黑体"/>
                <w:kern w:val="0"/>
                <w:sz w:val="32"/>
                <w:szCs w:val="32"/>
              </w:rPr>
              <w:t>表十</w:t>
            </w:r>
            <w:bookmarkEnd w:id="16"/>
            <w:r>
              <w:rPr>
                <w:rFonts w:hint="eastAsia" w:ascii="黑体" w:hAnsi="黑体" w:eastAsia="黑体" w:cs="黑体"/>
                <w:kern w:val="0"/>
                <w:sz w:val="32"/>
                <w:szCs w:val="32"/>
                <w:lang w:val="en-US" w:eastAsia="zh-CN"/>
              </w:rPr>
              <w:t>六</w:t>
            </w:r>
          </w:p>
        </w:tc>
        <w:tc>
          <w:tcPr>
            <w:tcW w:w="3169" w:type="dxa"/>
            <w:tcBorders>
              <w:top w:val="nil"/>
              <w:left w:val="nil"/>
              <w:bottom w:val="nil"/>
              <w:right w:val="nil"/>
            </w:tcBorders>
            <w:shd w:val="clear" w:color="auto" w:fill="auto"/>
            <w:vAlign w:val="center"/>
          </w:tcPr>
          <w:p w14:paraId="14DDE151">
            <w:pPr>
              <w:widowControl/>
              <w:jc w:val="left"/>
              <w:rPr>
                <w:rFonts w:hint="eastAsia" w:ascii="宋体" w:hAnsi="宋体" w:eastAsia="宋体" w:cs="宋体"/>
                <w:kern w:val="0"/>
                <w:sz w:val="24"/>
                <w:szCs w:val="24"/>
              </w:rPr>
            </w:pPr>
          </w:p>
        </w:tc>
      </w:tr>
      <w:tr w14:paraId="56998DCA">
        <w:tblPrEx>
          <w:tblCellMar>
            <w:top w:w="0" w:type="dxa"/>
            <w:left w:w="108" w:type="dxa"/>
            <w:bottom w:w="0" w:type="dxa"/>
            <w:right w:w="108" w:type="dxa"/>
          </w:tblCellMar>
        </w:tblPrEx>
        <w:trPr>
          <w:trHeight w:val="990" w:hRule="atLeast"/>
          <w:jc w:val="center"/>
        </w:trPr>
        <w:tc>
          <w:tcPr>
            <w:tcW w:w="8899" w:type="dxa"/>
            <w:gridSpan w:val="2"/>
            <w:tcBorders>
              <w:top w:val="nil"/>
              <w:left w:val="nil"/>
              <w:bottom w:val="nil"/>
              <w:right w:val="nil"/>
            </w:tcBorders>
            <w:shd w:val="clear" w:color="auto" w:fill="auto"/>
            <w:vAlign w:val="center"/>
          </w:tcPr>
          <w:p w14:paraId="1380864C">
            <w:pPr>
              <w:pStyle w:val="48"/>
              <w:rPr>
                <w:rFonts w:hint="eastAsia" w:ascii="宋体" w:hAnsi="宋体" w:eastAsia="宋体" w:cs="宋体"/>
                <w:sz w:val="24"/>
                <w:szCs w:val="24"/>
                <w:highlight w:val="none"/>
              </w:rPr>
            </w:pPr>
            <w:r>
              <w:rPr>
                <w:rFonts w:hint="eastAsia" w:hAnsi="方正小标宋简体" w:cs="方正小标宋简体"/>
                <w:sz w:val="44"/>
                <w:szCs w:val="44"/>
                <w:highlight w:val="none"/>
                <w:lang w:val="en-US" w:eastAsia="zh-CN"/>
              </w:rPr>
              <w:t>2025</w:t>
            </w:r>
            <w:r>
              <w:rPr>
                <w:rFonts w:hint="eastAsia" w:ascii="方正小标宋简体" w:hAnsi="方正小标宋简体" w:eastAsia="方正小标宋简体" w:cs="方正小标宋简体"/>
                <w:sz w:val="44"/>
                <w:szCs w:val="44"/>
                <w:highlight w:val="none"/>
              </w:rPr>
              <w:t>年政府专项债务限额余额情况表</w:t>
            </w:r>
          </w:p>
        </w:tc>
      </w:tr>
      <w:tr w14:paraId="38E09846">
        <w:tblPrEx>
          <w:tblCellMar>
            <w:top w:w="0" w:type="dxa"/>
            <w:left w:w="108" w:type="dxa"/>
            <w:bottom w:w="0" w:type="dxa"/>
            <w:right w:w="108" w:type="dxa"/>
          </w:tblCellMar>
        </w:tblPrEx>
        <w:trPr>
          <w:trHeight w:val="446" w:hRule="atLeast"/>
          <w:jc w:val="center"/>
        </w:trPr>
        <w:tc>
          <w:tcPr>
            <w:tcW w:w="5730" w:type="dxa"/>
            <w:tcBorders>
              <w:top w:val="nil"/>
              <w:left w:val="nil"/>
              <w:bottom w:val="single" w:color="auto" w:sz="4" w:space="0"/>
              <w:right w:val="nil"/>
            </w:tcBorders>
            <w:shd w:val="clear" w:color="auto" w:fill="auto"/>
            <w:vAlign w:val="center"/>
          </w:tcPr>
          <w:p w14:paraId="15866DD1">
            <w:pPr>
              <w:widowControl/>
              <w:jc w:val="center"/>
              <w:rPr>
                <w:rFonts w:hint="eastAsia" w:ascii="宋体" w:hAnsi="宋体" w:eastAsia="宋体" w:cs="宋体"/>
                <w:kern w:val="0"/>
                <w:sz w:val="24"/>
                <w:szCs w:val="24"/>
              </w:rPr>
            </w:pPr>
          </w:p>
        </w:tc>
        <w:tc>
          <w:tcPr>
            <w:tcW w:w="3169" w:type="dxa"/>
            <w:tcBorders>
              <w:top w:val="nil"/>
              <w:left w:val="nil"/>
              <w:bottom w:val="single" w:color="auto" w:sz="4" w:space="0"/>
              <w:right w:val="nil"/>
            </w:tcBorders>
            <w:shd w:val="clear" w:color="auto" w:fill="auto"/>
            <w:vAlign w:val="center"/>
          </w:tcPr>
          <w:p w14:paraId="0C105FBB">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单位：万元</w:t>
            </w:r>
          </w:p>
        </w:tc>
      </w:tr>
      <w:tr w14:paraId="42AF6AC6">
        <w:tblPrEx>
          <w:tblCellMar>
            <w:top w:w="0" w:type="dxa"/>
            <w:left w:w="108" w:type="dxa"/>
            <w:bottom w:w="0" w:type="dxa"/>
            <w:right w:w="108" w:type="dxa"/>
          </w:tblCellMar>
        </w:tblPrEx>
        <w:trPr>
          <w:trHeight w:val="765" w:hRule="atLeast"/>
          <w:jc w:val="center"/>
        </w:trPr>
        <w:tc>
          <w:tcPr>
            <w:tcW w:w="5730" w:type="dxa"/>
            <w:tcBorders>
              <w:top w:val="single" w:color="auto" w:sz="4" w:space="0"/>
              <w:left w:val="single" w:color="auto" w:sz="4" w:space="0"/>
              <w:bottom w:val="single" w:color="auto" w:sz="4" w:space="0"/>
              <w:right w:val="single" w:color="auto" w:sz="4" w:space="0"/>
            </w:tcBorders>
            <w:shd w:val="clear" w:color="auto" w:fill="auto"/>
            <w:vAlign w:val="center"/>
          </w:tcPr>
          <w:p w14:paraId="6E9F2CA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 目</w:t>
            </w:r>
          </w:p>
        </w:tc>
        <w:tc>
          <w:tcPr>
            <w:tcW w:w="3169" w:type="dxa"/>
            <w:tcBorders>
              <w:top w:val="single" w:color="auto" w:sz="4" w:space="0"/>
              <w:left w:val="single" w:color="auto" w:sz="4" w:space="0"/>
              <w:bottom w:val="single" w:color="auto" w:sz="4" w:space="0"/>
              <w:right w:val="single" w:color="auto" w:sz="4" w:space="0"/>
            </w:tcBorders>
            <w:shd w:val="clear" w:color="auto" w:fill="auto"/>
            <w:vAlign w:val="center"/>
          </w:tcPr>
          <w:p w14:paraId="51CE67A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金</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额</w:t>
            </w:r>
          </w:p>
        </w:tc>
      </w:tr>
      <w:tr w14:paraId="06FD9099">
        <w:tblPrEx>
          <w:tblCellMar>
            <w:top w:w="0" w:type="dxa"/>
            <w:left w:w="108" w:type="dxa"/>
            <w:bottom w:w="0" w:type="dxa"/>
            <w:right w:w="108" w:type="dxa"/>
          </w:tblCellMar>
        </w:tblPrEx>
        <w:trPr>
          <w:trHeight w:val="765" w:hRule="atLeast"/>
          <w:jc w:val="center"/>
        </w:trPr>
        <w:tc>
          <w:tcPr>
            <w:tcW w:w="5730" w:type="dxa"/>
            <w:tcBorders>
              <w:top w:val="nil"/>
              <w:left w:val="single" w:color="auto" w:sz="4" w:space="0"/>
              <w:bottom w:val="single" w:color="auto" w:sz="4" w:space="0"/>
              <w:right w:val="single" w:color="auto" w:sz="4" w:space="0"/>
            </w:tcBorders>
            <w:shd w:val="clear" w:color="auto" w:fill="auto"/>
            <w:vAlign w:val="center"/>
          </w:tcPr>
          <w:p w14:paraId="548D57DD">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一</w:t>
            </w:r>
            <w:r>
              <w:rPr>
                <w:rFonts w:hint="eastAsia" w:ascii="宋体" w:hAnsi="宋体" w:eastAsia="宋体" w:cs="宋体"/>
                <w:kern w:val="0"/>
                <w:sz w:val="24"/>
                <w:szCs w:val="24"/>
                <w:highlight w:val="none"/>
              </w:rPr>
              <w:t>、202</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年末政府专项债务余额实际数</w:t>
            </w:r>
          </w:p>
        </w:tc>
        <w:tc>
          <w:tcPr>
            <w:tcW w:w="3169" w:type="dxa"/>
            <w:tcBorders>
              <w:top w:val="nil"/>
              <w:left w:val="nil"/>
              <w:bottom w:val="single" w:color="auto" w:sz="4" w:space="0"/>
              <w:right w:val="single" w:color="auto" w:sz="4" w:space="0"/>
            </w:tcBorders>
            <w:shd w:val="clear" w:color="auto" w:fill="auto"/>
            <w:vAlign w:val="center"/>
          </w:tcPr>
          <w:p w14:paraId="50BDCADE">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540901</w:t>
            </w:r>
          </w:p>
        </w:tc>
      </w:tr>
      <w:tr w14:paraId="28410625">
        <w:tblPrEx>
          <w:tblCellMar>
            <w:top w:w="0" w:type="dxa"/>
            <w:left w:w="108" w:type="dxa"/>
            <w:bottom w:w="0" w:type="dxa"/>
            <w:right w:w="108" w:type="dxa"/>
          </w:tblCellMar>
        </w:tblPrEx>
        <w:trPr>
          <w:trHeight w:val="765" w:hRule="atLeast"/>
          <w:jc w:val="center"/>
        </w:trPr>
        <w:tc>
          <w:tcPr>
            <w:tcW w:w="5730" w:type="dxa"/>
            <w:tcBorders>
              <w:top w:val="nil"/>
              <w:left w:val="single" w:color="auto" w:sz="4" w:space="0"/>
              <w:bottom w:val="single" w:color="auto" w:sz="4" w:space="0"/>
              <w:right w:val="single" w:color="auto" w:sz="4" w:space="0"/>
            </w:tcBorders>
            <w:shd w:val="clear" w:color="auto" w:fill="auto"/>
            <w:vAlign w:val="center"/>
          </w:tcPr>
          <w:p w14:paraId="6C643BB8">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二</w:t>
            </w:r>
            <w:r>
              <w:rPr>
                <w:rFonts w:hint="eastAsia" w:ascii="宋体" w:hAnsi="宋体" w:eastAsia="宋体" w:cs="宋体"/>
                <w:kern w:val="0"/>
                <w:sz w:val="24"/>
                <w:szCs w:val="24"/>
                <w:highlight w:val="none"/>
              </w:rPr>
              <w:t>、202</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年末政府专项债务限额</w:t>
            </w:r>
          </w:p>
        </w:tc>
        <w:tc>
          <w:tcPr>
            <w:tcW w:w="3169" w:type="dxa"/>
            <w:tcBorders>
              <w:top w:val="nil"/>
              <w:left w:val="nil"/>
              <w:bottom w:val="single" w:color="auto" w:sz="4" w:space="0"/>
              <w:right w:val="single" w:color="auto" w:sz="4" w:space="0"/>
            </w:tcBorders>
            <w:shd w:val="clear" w:color="auto" w:fill="auto"/>
            <w:vAlign w:val="center"/>
          </w:tcPr>
          <w:p w14:paraId="2373F745">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658931</w:t>
            </w:r>
          </w:p>
        </w:tc>
      </w:tr>
      <w:tr w14:paraId="6023F727">
        <w:tblPrEx>
          <w:tblCellMar>
            <w:top w:w="0" w:type="dxa"/>
            <w:left w:w="108" w:type="dxa"/>
            <w:bottom w:w="0" w:type="dxa"/>
            <w:right w:w="108" w:type="dxa"/>
          </w:tblCellMar>
        </w:tblPrEx>
        <w:trPr>
          <w:trHeight w:val="765" w:hRule="atLeast"/>
          <w:jc w:val="center"/>
        </w:trPr>
        <w:tc>
          <w:tcPr>
            <w:tcW w:w="5730" w:type="dxa"/>
            <w:tcBorders>
              <w:top w:val="nil"/>
              <w:left w:val="single" w:color="auto" w:sz="4" w:space="0"/>
              <w:bottom w:val="single" w:color="auto" w:sz="4" w:space="0"/>
              <w:right w:val="single" w:color="auto" w:sz="4" w:space="0"/>
            </w:tcBorders>
            <w:shd w:val="clear" w:color="auto" w:fill="auto"/>
            <w:vAlign w:val="center"/>
          </w:tcPr>
          <w:p w14:paraId="6223BCE1">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三</w:t>
            </w:r>
            <w:r>
              <w:rPr>
                <w:rFonts w:hint="eastAsia" w:ascii="宋体" w:hAnsi="宋体" w:eastAsia="宋体" w:cs="宋体"/>
                <w:kern w:val="0"/>
                <w:sz w:val="24"/>
                <w:szCs w:val="24"/>
                <w:highlight w:val="none"/>
              </w:rPr>
              <w:t>、202</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年政府专项债务接受转贷额</w:t>
            </w:r>
          </w:p>
        </w:tc>
        <w:tc>
          <w:tcPr>
            <w:tcW w:w="3169" w:type="dxa"/>
            <w:tcBorders>
              <w:top w:val="nil"/>
              <w:left w:val="nil"/>
              <w:bottom w:val="single" w:color="auto" w:sz="4" w:space="0"/>
              <w:right w:val="single" w:color="auto" w:sz="4" w:space="0"/>
            </w:tcBorders>
            <w:shd w:val="clear" w:color="auto" w:fill="auto"/>
            <w:vAlign w:val="center"/>
          </w:tcPr>
          <w:p w14:paraId="0E1CF837">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152152</w:t>
            </w:r>
          </w:p>
        </w:tc>
      </w:tr>
      <w:tr w14:paraId="58E30BC8">
        <w:tblPrEx>
          <w:tblCellMar>
            <w:top w:w="0" w:type="dxa"/>
            <w:left w:w="108" w:type="dxa"/>
            <w:bottom w:w="0" w:type="dxa"/>
            <w:right w:w="108" w:type="dxa"/>
          </w:tblCellMar>
        </w:tblPrEx>
        <w:trPr>
          <w:trHeight w:val="765" w:hRule="atLeast"/>
          <w:jc w:val="center"/>
        </w:trPr>
        <w:tc>
          <w:tcPr>
            <w:tcW w:w="5730" w:type="dxa"/>
            <w:tcBorders>
              <w:top w:val="nil"/>
              <w:left w:val="single" w:color="auto" w:sz="4" w:space="0"/>
              <w:bottom w:val="single" w:color="auto" w:sz="4" w:space="0"/>
              <w:right w:val="single" w:color="auto" w:sz="4" w:space="0"/>
            </w:tcBorders>
            <w:shd w:val="clear" w:color="auto" w:fill="auto"/>
            <w:vAlign w:val="center"/>
          </w:tcPr>
          <w:p w14:paraId="07C558D3">
            <w:pPr>
              <w:widowControl/>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四</w:t>
            </w:r>
            <w:r>
              <w:rPr>
                <w:rFonts w:hint="eastAsia" w:ascii="宋体" w:hAnsi="宋体" w:eastAsia="宋体" w:cs="宋体"/>
                <w:kern w:val="0"/>
                <w:sz w:val="24"/>
                <w:szCs w:val="24"/>
                <w:highlight w:val="none"/>
              </w:rPr>
              <w:t>、202</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年政府专项债务还本额</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不含置换债</w:t>
            </w:r>
            <w:r>
              <w:rPr>
                <w:rFonts w:hint="eastAsia" w:ascii="宋体" w:hAnsi="宋体" w:eastAsia="宋体" w:cs="宋体"/>
                <w:kern w:val="0"/>
                <w:sz w:val="24"/>
                <w:szCs w:val="24"/>
                <w:highlight w:val="none"/>
                <w:lang w:eastAsia="zh-CN"/>
              </w:rPr>
              <w:t>）</w:t>
            </w:r>
          </w:p>
        </w:tc>
        <w:tc>
          <w:tcPr>
            <w:tcW w:w="3169" w:type="dxa"/>
            <w:tcBorders>
              <w:top w:val="nil"/>
              <w:left w:val="nil"/>
              <w:bottom w:val="single" w:color="auto" w:sz="4" w:space="0"/>
              <w:right w:val="single" w:color="auto" w:sz="4" w:space="0"/>
            </w:tcBorders>
            <w:shd w:val="clear" w:color="auto" w:fill="auto"/>
            <w:vAlign w:val="center"/>
          </w:tcPr>
          <w:p w14:paraId="61F786C9">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39369</w:t>
            </w:r>
          </w:p>
        </w:tc>
      </w:tr>
      <w:tr w14:paraId="5F81959F">
        <w:tblPrEx>
          <w:tblCellMar>
            <w:top w:w="0" w:type="dxa"/>
            <w:left w:w="108" w:type="dxa"/>
            <w:bottom w:w="0" w:type="dxa"/>
            <w:right w:w="108" w:type="dxa"/>
          </w:tblCellMar>
        </w:tblPrEx>
        <w:trPr>
          <w:trHeight w:val="765" w:hRule="atLeast"/>
          <w:jc w:val="center"/>
        </w:trPr>
        <w:tc>
          <w:tcPr>
            <w:tcW w:w="5730" w:type="dxa"/>
            <w:tcBorders>
              <w:top w:val="nil"/>
              <w:left w:val="single" w:color="auto" w:sz="4" w:space="0"/>
              <w:bottom w:val="single" w:color="auto" w:sz="4" w:space="0"/>
              <w:right w:val="single" w:color="auto" w:sz="4" w:space="0"/>
            </w:tcBorders>
            <w:shd w:val="clear" w:color="auto" w:fill="auto"/>
            <w:vAlign w:val="center"/>
          </w:tcPr>
          <w:p w14:paraId="43D528E8">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五</w:t>
            </w:r>
            <w:r>
              <w:rPr>
                <w:rFonts w:hint="eastAsia" w:ascii="宋体" w:hAnsi="宋体" w:eastAsia="宋体" w:cs="宋体"/>
                <w:kern w:val="0"/>
                <w:sz w:val="24"/>
                <w:szCs w:val="24"/>
                <w:highlight w:val="none"/>
              </w:rPr>
              <w:t>、202</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年末政府专项债务余额执行数</w:t>
            </w:r>
          </w:p>
        </w:tc>
        <w:tc>
          <w:tcPr>
            <w:tcW w:w="3169" w:type="dxa"/>
            <w:tcBorders>
              <w:top w:val="nil"/>
              <w:left w:val="nil"/>
              <w:bottom w:val="single" w:color="auto" w:sz="4" w:space="0"/>
              <w:right w:val="single" w:color="auto" w:sz="4" w:space="0"/>
            </w:tcBorders>
            <w:shd w:val="clear" w:color="auto" w:fill="auto"/>
            <w:vAlign w:val="center"/>
          </w:tcPr>
          <w:p w14:paraId="2E89FA87">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653684</w:t>
            </w:r>
          </w:p>
        </w:tc>
      </w:tr>
    </w:tbl>
    <w:p w14:paraId="0CAA0392">
      <w:pPr>
        <w:pStyle w:val="48"/>
        <w:keepNext w:val="0"/>
        <w:keepLines w:val="0"/>
        <w:pageBreakBefore w:val="0"/>
        <w:widowControl w:val="0"/>
        <w:kinsoku/>
        <w:wordWrap/>
        <w:overflowPunct/>
        <w:topLinePunct w:val="0"/>
        <w:autoSpaceDE/>
        <w:autoSpaceDN/>
        <w:bidi w:val="0"/>
        <w:adjustRightInd/>
        <w:snapToGrid/>
        <w:spacing w:before="0" w:after="0" w:line="572" w:lineRule="exact"/>
        <w:jc w:val="both"/>
        <w:textAlignment w:val="auto"/>
        <w:outlineLvl w:val="9"/>
        <w:rPr>
          <w:rFonts w:hint="eastAsia" w:ascii="方正小标宋简体" w:hAnsi="方正小标宋简体" w:eastAsia="方正小标宋简体" w:cs="方正小标宋简体"/>
          <w:color w:val="auto"/>
          <w:sz w:val="44"/>
          <w:szCs w:val="44"/>
        </w:rPr>
        <w:sectPr>
          <w:pgSz w:w="11906" w:h="16838"/>
          <w:pgMar w:top="2098" w:right="1531" w:bottom="1928" w:left="1531" w:header="851" w:footer="1417" w:gutter="0"/>
          <w:pgBorders>
            <w:top w:val="none" w:sz="0" w:space="0"/>
            <w:left w:val="none" w:sz="0" w:space="0"/>
            <w:bottom w:val="none" w:sz="0" w:space="0"/>
            <w:right w:val="none" w:sz="0" w:space="0"/>
          </w:pgBorders>
          <w:pgNumType w:fmt="numberInDash"/>
          <w:cols w:space="0" w:num="1"/>
          <w:rtlGutter w:val="0"/>
          <w:docGrid w:type="lines" w:linePitch="312" w:charSpace="0"/>
        </w:sectPr>
      </w:pPr>
    </w:p>
    <w:p w14:paraId="271EF407">
      <w:pPr>
        <w:pStyle w:val="48"/>
        <w:keepNext w:val="0"/>
        <w:keepLines w:val="0"/>
        <w:pageBreakBefore w:val="0"/>
        <w:widowControl w:val="0"/>
        <w:kinsoku/>
        <w:wordWrap/>
        <w:overflowPunct/>
        <w:topLinePunct w:val="0"/>
        <w:autoSpaceDE/>
        <w:autoSpaceDN/>
        <w:bidi w:val="0"/>
        <w:adjustRightInd/>
        <w:snapToGrid/>
        <w:spacing w:before="0" w:after="0" w:line="572" w:lineRule="exact"/>
        <w:ind w:firstLine="320" w:firstLineChars="100"/>
        <w:jc w:val="both"/>
        <w:textAlignment w:val="auto"/>
        <w:outlineLvl w:val="9"/>
        <w:rPr>
          <w:rFonts w:hint="eastAsia" w:ascii="黑体" w:hAnsi="黑体" w:eastAsia="黑体" w:cs="黑体"/>
          <w:kern w:val="0"/>
          <w:sz w:val="32"/>
          <w:szCs w:val="32"/>
          <w:lang w:val="en-US" w:eastAsia="zh-CN" w:bidi="ar-SA"/>
        </w:rPr>
      </w:pPr>
      <w:r>
        <w:rPr>
          <w:sz w:val="32"/>
        </w:rPr>
        <mc:AlternateContent>
          <mc:Choice Requires="wps">
            <w:drawing>
              <wp:anchor distT="0" distB="0" distL="114300" distR="114300" simplePos="0" relativeHeight="251659264" behindDoc="1" locked="0" layoutInCell="1" allowOverlap="1">
                <wp:simplePos x="0" y="0"/>
                <wp:positionH relativeFrom="column">
                  <wp:posOffset>-187960</wp:posOffset>
                </wp:positionH>
                <wp:positionV relativeFrom="paragraph">
                  <wp:posOffset>212090</wp:posOffset>
                </wp:positionV>
                <wp:extent cx="438785" cy="695960"/>
                <wp:effectExtent l="5080" t="4445" r="13335" b="15875"/>
                <wp:wrapNone/>
                <wp:docPr id="1" name="文本框 2"/>
                <wp:cNvGraphicFramePr/>
                <a:graphic xmlns:a="http://schemas.openxmlformats.org/drawingml/2006/main">
                  <a:graphicData uri="http://schemas.microsoft.com/office/word/2010/wordprocessingShape">
                    <wps:wsp>
                      <wps:cNvSpPr txBox="1"/>
                      <wps:spPr>
                        <a:xfrm>
                          <a:off x="0" y="0"/>
                          <a:ext cx="438785" cy="69596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0BF23D0C">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spacing w:val="-23"/>
                                <w:sz w:val="28"/>
                                <w:szCs w:val="28"/>
                                <w:lang w:eastAsia="zh-CN"/>
                              </w:rPr>
                            </w:pPr>
                            <w:r>
                              <w:rPr>
                                <w:rFonts w:hint="eastAsia" w:ascii="宋体" w:hAnsi="宋体" w:eastAsia="宋体" w:cs="宋体"/>
                                <w:spacing w:val="-23"/>
                                <w:sz w:val="28"/>
                                <w:szCs w:val="28"/>
                                <w:lang w:eastAsia="zh-CN"/>
                              </w:rPr>
                              <w:t>－</w:t>
                            </w:r>
                            <w:r>
                              <w:rPr>
                                <w:rFonts w:hint="eastAsia" w:ascii="宋体" w:hAnsi="宋体" w:eastAsia="宋体" w:cs="宋体"/>
                                <w:spacing w:val="-23"/>
                                <w:sz w:val="28"/>
                                <w:szCs w:val="28"/>
                                <w:lang w:val="en-US" w:eastAsia="zh-CN"/>
                              </w:rPr>
                              <w:t xml:space="preserve"> 32 </w:t>
                            </w:r>
                            <w:r>
                              <w:rPr>
                                <w:rFonts w:hint="eastAsia" w:ascii="宋体" w:hAnsi="宋体" w:eastAsia="宋体" w:cs="宋体"/>
                                <w:spacing w:val="-23"/>
                                <w:sz w:val="28"/>
                                <w:szCs w:val="28"/>
                                <w:lang w:eastAsia="zh-CN"/>
                              </w:rPr>
                              <w:t>－</w:t>
                            </w:r>
                          </w:p>
                        </w:txbxContent>
                      </wps:txbx>
                      <wps:bodyPr vert="eaVert" upright="1"/>
                    </wps:wsp>
                  </a:graphicData>
                </a:graphic>
              </wp:anchor>
            </w:drawing>
          </mc:Choice>
          <mc:Fallback>
            <w:pict>
              <v:shape id="文本框 2" o:spid="_x0000_s1026" o:spt="202" type="#_x0000_t202" style="position:absolute;left:0pt;margin-left:-14.8pt;margin-top:16.7pt;height:54.8pt;width:34.55pt;z-index:-251657216;mso-width-relative:page;mso-height-relative:page;" fillcolor="#FFFFFF" filled="t" stroked="t" coordsize="21600,21600" o:gfxdata="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EAWSftUAAAAJAQAADwAAAAAAAAABACAA&#10;AAAiAAAAZHJzL2Rvd25yZXYueG1sUEsBAhQAFAAAAAgAh07iQB5UQwkQAgAAQwQAAA4AAAAAAAAA&#10;AQAgAAAAJAEAAGRycy9lMm9Eb2MueG1sUEsFBgAAAAAGAAYAWQEAAKYFAAAAAA==&#10;">
                <v:fill on="t" focussize="0,0"/>
                <v:stroke color="#FFFFFF" joinstyle="miter"/>
                <v:imagedata o:title=""/>
                <o:lock v:ext="edit" aspectratio="f"/>
                <v:textbox style="layout-flow:vertical-ideographic;">
                  <w:txbxContent>
                    <w:p w14:paraId="0BF23D0C">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spacing w:val="-23"/>
                          <w:sz w:val="28"/>
                          <w:szCs w:val="28"/>
                          <w:lang w:eastAsia="zh-CN"/>
                        </w:rPr>
                      </w:pPr>
                      <w:r>
                        <w:rPr>
                          <w:rFonts w:hint="eastAsia" w:ascii="宋体" w:hAnsi="宋体" w:eastAsia="宋体" w:cs="宋体"/>
                          <w:spacing w:val="-23"/>
                          <w:sz w:val="28"/>
                          <w:szCs w:val="28"/>
                          <w:lang w:eastAsia="zh-CN"/>
                        </w:rPr>
                        <w:t>－</w:t>
                      </w:r>
                      <w:r>
                        <w:rPr>
                          <w:rFonts w:hint="eastAsia" w:ascii="宋体" w:hAnsi="宋体" w:eastAsia="宋体" w:cs="宋体"/>
                          <w:spacing w:val="-23"/>
                          <w:sz w:val="28"/>
                          <w:szCs w:val="28"/>
                          <w:lang w:val="en-US" w:eastAsia="zh-CN"/>
                        </w:rPr>
                        <w:t xml:space="preserve"> 32 </w:t>
                      </w:r>
                      <w:r>
                        <w:rPr>
                          <w:rFonts w:hint="eastAsia" w:ascii="宋体" w:hAnsi="宋体" w:eastAsia="宋体" w:cs="宋体"/>
                          <w:spacing w:val="-23"/>
                          <w:sz w:val="28"/>
                          <w:szCs w:val="28"/>
                          <w:lang w:eastAsia="zh-CN"/>
                        </w:rPr>
                        <w:t>－</w:t>
                      </w:r>
                    </w:p>
                  </w:txbxContent>
                </v:textbox>
              </v:shape>
            </w:pict>
          </mc:Fallback>
        </mc:AlternateContent>
      </w:r>
      <w:r>
        <w:rPr>
          <w:rFonts w:hint="eastAsia" w:ascii="黑体" w:hAnsi="黑体" w:eastAsia="黑体" w:cs="黑体"/>
          <w:kern w:val="0"/>
          <w:sz w:val="32"/>
          <w:szCs w:val="32"/>
          <w:lang w:val="en-US" w:eastAsia="zh-CN" w:bidi="ar-SA"/>
        </w:rPr>
        <w:t>表十七</w:t>
      </w:r>
    </w:p>
    <w:p w14:paraId="4C915FEA">
      <w:pPr>
        <w:pStyle w:val="48"/>
        <w:keepNext w:val="0"/>
        <w:keepLines w:val="0"/>
        <w:pageBreakBefore w:val="0"/>
        <w:widowControl w:val="0"/>
        <w:kinsoku/>
        <w:wordWrap/>
        <w:overflowPunct/>
        <w:topLinePunct w:val="0"/>
        <w:autoSpaceDE/>
        <w:autoSpaceDN/>
        <w:bidi w:val="0"/>
        <w:adjustRightInd/>
        <w:snapToGrid/>
        <w:spacing w:before="0" w:after="0" w:line="572" w:lineRule="exact"/>
        <w:jc w:val="center"/>
        <w:textAlignment w:val="auto"/>
        <w:outlineLvl w:val="9"/>
        <w:rPr>
          <w:rFonts w:hint="eastAsia" w:ascii="方正小标宋简体" w:hAnsi="方正小标宋简体" w:eastAsia="方正小标宋简体" w:cs="方正小标宋简体"/>
          <w:kern w:val="0"/>
          <w:sz w:val="44"/>
          <w:szCs w:val="44"/>
          <w:lang w:val="en-US" w:eastAsia="zh-CN" w:bidi="ar-SA"/>
        </w:rPr>
      </w:pPr>
      <w:r>
        <w:rPr>
          <w:rFonts w:hint="eastAsia" w:ascii="方正小标宋简体" w:hAnsi="方正小标宋简体" w:eastAsia="方正小标宋简体" w:cs="方正小标宋简体"/>
          <w:kern w:val="0"/>
          <w:sz w:val="44"/>
          <w:szCs w:val="44"/>
          <w:lang w:val="en-US" w:eastAsia="zh-CN" w:bidi="ar-SA"/>
        </w:rPr>
        <w:t>202</w:t>
      </w:r>
      <w:r>
        <w:rPr>
          <w:rFonts w:hint="eastAsia" w:hAnsi="方正小标宋简体" w:cs="方正小标宋简体"/>
          <w:kern w:val="0"/>
          <w:sz w:val="44"/>
          <w:szCs w:val="44"/>
          <w:lang w:val="en-US" w:eastAsia="zh-CN" w:bidi="ar-SA"/>
        </w:rPr>
        <w:t>6</w:t>
      </w:r>
      <w:r>
        <w:rPr>
          <w:rFonts w:hint="eastAsia" w:ascii="方正小标宋简体" w:hAnsi="方正小标宋简体" w:eastAsia="方正小标宋简体" w:cs="方正小标宋简体"/>
          <w:kern w:val="0"/>
          <w:sz w:val="44"/>
          <w:szCs w:val="44"/>
          <w:lang w:val="en-US" w:eastAsia="zh-CN" w:bidi="ar-SA"/>
        </w:rPr>
        <w:t>年城乡居民基本养老保险基金收支预算表</w:t>
      </w:r>
    </w:p>
    <w:p w14:paraId="2B3F4DB0">
      <w:pPr>
        <w:pStyle w:val="48"/>
        <w:keepNext w:val="0"/>
        <w:keepLines w:val="0"/>
        <w:pageBreakBefore w:val="0"/>
        <w:widowControl w:val="0"/>
        <w:kinsoku/>
        <w:wordWrap/>
        <w:overflowPunct/>
        <w:topLinePunct w:val="0"/>
        <w:autoSpaceDE/>
        <w:autoSpaceDN/>
        <w:bidi w:val="0"/>
        <w:adjustRightInd/>
        <w:snapToGrid/>
        <w:spacing w:before="0" w:after="0" w:line="300" w:lineRule="exact"/>
        <w:jc w:val="center"/>
        <w:textAlignment w:val="auto"/>
        <w:outlineLvl w:val="9"/>
        <w:rPr>
          <w:rFonts w:hint="eastAsia" w:ascii="宋体" w:hAnsi="宋体" w:eastAsia="宋体" w:cs="宋体"/>
          <w:kern w:val="0"/>
          <w:sz w:val="21"/>
          <w:szCs w:val="21"/>
          <w:lang w:val="en-US" w:eastAsia="zh-CN" w:bidi="ar-SA"/>
        </w:rPr>
      </w:pPr>
      <w:r>
        <w:drawing>
          <wp:anchor distT="0" distB="0" distL="114300" distR="114300" simplePos="0" relativeHeight="251660288" behindDoc="1" locked="0" layoutInCell="1" allowOverlap="1">
            <wp:simplePos x="0" y="0"/>
            <wp:positionH relativeFrom="column">
              <wp:posOffset>-38100</wp:posOffset>
            </wp:positionH>
            <wp:positionV relativeFrom="paragraph">
              <wp:posOffset>342900</wp:posOffset>
            </wp:positionV>
            <wp:extent cx="8882380" cy="4506595"/>
            <wp:effectExtent l="0" t="0" r="13970" b="825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8882380" cy="4506595"/>
                    </a:xfrm>
                    <a:prstGeom prst="rect">
                      <a:avLst/>
                    </a:prstGeom>
                    <a:noFill/>
                    <a:ln>
                      <a:noFill/>
                    </a:ln>
                  </pic:spPr>
                </pic:pic>
              </a:graphicData>
            </a:graphic>
          </wp:anchor>
        </w:drawing>
      </w:r>
      <w:r>
        <w:rPr>
          <w:rFonts w:hint="eastAsia" w:ascii="宋体" w:hAnsi="宋体" w:eastAsia="宋体" w:cs="宋体"/>
          <w:kern w:val="0"/>
          <w:sz w:val="21"/>
          <w:szCs w:val="21"/>
          <w:lang w:val="en-US" w:eastAsia="zh-CN" w:bidi="ar-SA"/>
        </w:rPr>
        <w:t>叶县                                                                                                                    单位：元</w:t>
      </w:r>
    </w:p>
    <w:p w14:paraId="24160B66">
      <w:pPr>
        <w:pStyle w:val="48"/>
        <w:keepNext w:val="0"/>
        <w:keepLines w:val="0"/>
        <w:pageBreakBefore w:val="0"/>
        <w:widowControl w:val="0"/>
        <w:kinsoku/>
        <w:wordWrap/>
        <w:overflowPunct/>
        <w:topLinePunct w:val="0"/>
        <w:autoSpaceDE/>
        <w:autoSpaceDN/>
        <w:bidi w:val="0"/>
        <w:adjustRightInd/>
        <w:snapToGrid/>
        <w:spacing w:before="0" w:after="0" w:line="572" w:lineRule="exact"/>
        <w:jc w:val="both"/>
        <w:textAlignment w:val="auto"/>
        <w:outlineLvl w:val="9"/>
        <w:rPr>
          <w:rFonts w:hint="eastAsia" w:ascii="黑体" w:hAnsi="黑体" w:eastAsia="黑体" w:cs="黑体"/>
          <w:kern w:val="0"/>
          <w:sz w:val="32"/>
          <w:szCs w:val="32"/>
          <w:lang w:val="en-US" w:eastAsia="zh-CN" w:bidi="ar-SA"/>
        </w:rPr>
        <w:sectPr>
          <w:footerReference r:id="rId5" w:type="default"/>
          <w:footerReference r:id="rId6" w:type="even"/>
          <w:pgSz w:w="16838" w:h="11906" w:orient="landscape"/>
          <w:pgMar w:top="1417" w:right="1417" w:bottom="1417" w:left="1417" w:header="851" w:footer="1134" w:gutter="0"/>
          <w:pgBorders>
            <w:top w:val="none" w:sz="0" w:space="0"/>
            <w:left w:val="none" w:sz="0" w:space="0"/>
            <w:bottom w:val="none" w:sz="0" w:space="0"/>
            <w:right w:val="none" w:sz="0" w:space="0"/>
          </w:pgBorders>
          <w:pgNumType w:fmt="numberInDash"/>
          <w:cols w:space="0" w:num="1"/>
          <w:rtlGutter w:val="0"/>
          <w:docGrid w:type="lines" w:linePitch="312" w:charSpace="0"/>
        </w:sectPr>
      </w:pPr>
    </w:p>
    <w:bookmarkEnd w:id="6"/>
    <w:bookmarkEnd w:id="7"/>
    <w:bookmarkEnd w:id="8"/>
    <w:bookmarkEnd w:id="9"/>
    <w:p w14:paraId="357610A0">
      <w:pPr>
        <w:keepNext w:val="0"/>
        <w:keepLines w:val="0"/>
        <w:pageBreakBefore w:val="0"/>
        <w:widowControl w:val="0"/>
        <w:kinsoku/>
        <w:wordWrap/>
        <w:overflowPunct/>
        <w:topLinePunct w:val="0"/>
        <w:bidi w:val="0"/>
        <w:adjustRightInd/>
        <w:snapToGrid/>
        <w:spacing w:before="0" w:after="0" w:line="572" w:lineRule="exact"/>
        <w:jc w:val="center"/>
        <w:textAlignment w:val="auto"/>
        <w:outlineLvl w:val="9"/>
        <w:rPr>
          <w:rFonts w:hint="eastAsia" w:ascii="方正小标宋简体" w:hAnsi="方正小标宋简体" w:eastAsia="方正小标宋简体" w:cs="方正小标宋简体"/>
          <w:b w:val="0"/>
          <w:color w:val="auto"/>
          <w:sz w:val="44"/>
          <w:szCs w:val="44"/>
        </w:rPr>
      </w:pPr>
      <w:r>
        <w:rPr>
          <w:rFonts w:hint="eastAsia" w:ascii="方正小标宋简体" w:hAnsi="方正小标宋简体" w:eastAsia="方正小标宋简体" w:cs="方正小标宋简体"/>
          <w:b w:val="0"/>
          <w:color w:val="auto"/>
          <w:sz w:val="44"/>
          <w:szCs w:val="44"/>
        </w:rPr>
        <w:t>财政名词解释</w:t>
      </w:r>
    </w:p>
    <w:p w14:paraId="6B3A2EDB">
      <w:pPr>
        <w:keepNext w:val="0"/>
        <w:keepLines w:val="0"/>
        <w:pageBreakBefore w:val="0"/>
        <w:widowControl w:val="0"/>
        <w:kinsoku/>
        <w:wordWrap/>
        <w:overflowPunct/>
        <w:topLinePunct w:val="0"/>
        <w:bidi w:val="0"/>
        <w:adjustRightInd/>
        <w:snapToGrid/>
        <w:spacing w:before="0" w:after="0" w:line="572" w:lineRule="exact"/>
        <w:jc w:val="both"/>
        <w:textAlignment w:val="auto"/>
        <w:outlineLvl w:val="9"/>
        <w:rPr>
          <w:rFonts w:hint="eastAsia" w:ascii="仿宋_GB2312" w:hAnsi="仿宋_GB2312" w:eastAsia="仿宋_GB2312" w:cs="仿宋_GB2312"/>
          <w:b w:val="0"/>
          <w:color w:val="auto"/>
          <w:sz w:val="32"/>
          <w:szCs w:val="32"/>
          <w:lang w:eastAsia="zh-CN"/>
        </w:rPr>
      </w:pPr>
    </w:p>
    <w:p w14:paraId="774D80AC">
      <w:pPr>
        <w:keepNext w:val="0"/>
        <w:keepLines w:val="0"/>
        <w:pageBreakBefore w:val="0"/>
        <w:widowControl w:val="0"/>
        <w:kinsoku/>
        <w:wordWrap/>
        <w:overflowPunct/>
        <w:topLinePunct w:val="0"/>
        <w:autoSpaceDE w:val="0"/>
        <w:autoSpaceDN w:val="0"/>
        <w:bidi w:val="0"/>
        <w:adjustRightInd/>
        <w:snapToGrid/>
        <w:spacing w:before="0" w:after="0" w:line="572" w:lineRule="exact"/>
        <w:ind w:firstLine="643" w:firstLineChars="200"/>
        <w:contextualSpacing/>
        <w:jc w:val="both"/>
        <w:textAlignment w:val="auto"/>
        <w:outlineLvl w:val="9"/>
        <w:rPr>
          <w:rFonts w:hint="eastAsia" w:ascii="仿宋_GB2312" w:hAnsi="仿宋_GB2312" w:eastAsia="仿宋_GB2312" w:cs="仿宋_GB2312"/>
          <w:b/>
          <w:bCs/>
          <w:color w:val="auto"/>
          <w:sz w:val="32"/>
          <w:szCs w:val="32"/>
        </w:rPr>
      </w:pPr>
      <w:bookmarkStart w:id="17" w:name="_Toc10024"/>
      <w:bookmarkStart w:id="18" w:name="_Toc3731"/>
      <w:bookmarkStart w:id="19" w:name="_Toc26343"/>
      <w:bookmarkStart w:id="20" w:name="_Toc10136"/>
      <w:bookmarkStart w:id="21" w:name="_Toc7153"/>
      <w:r>
        <w:rPr>
          <w:rFonts w:hint="eastAsia" w:ascii="仿宋_GB2312" w:hAnsi="仿宋_GB2312" w:eastAsia="仿宋_GB2312" w:cs="仿宋_GB2312"/>
          <w:b/>
          <w:bCs/>
          <w:color w:val="auto"/>
          <w:sz w:val="32"/>
          <w:szCs w:val="32"/>
        </w:rPr>
        <w:t>1.财政</w:t>
      </w:r>
      <w:bookmarkEnd w:id="17"/>
      <w:bookmarkEnd w:id="18"/>
      <w:bookmarkEnd w:id="19"/>
      <w:bookmarkEnd w:id="20"/>
      <w:bookmarkEnd w:id="21"/>
    </w:p>
    <w:p w14:paraId="4C11CC37">
      <w:pPr>
        <w:keepNext w:val="0"/>
        <w:keepLines w:val="0"/>
        <w:pageBreakBefore w:val="0"/>
        <w:widowControl w:val="0"/>
        <w:kinsoku/>
        <w:wordWrap/>
        <w:overflowPunct/>
        <w:topLinePunct w:val="0"/>
        <w:autoSpaceDE w:val="0"/>
        <w:autoSpaceDN w:val="0"/>
        <w:bidi w:val="0"/>
        <w:adjustRightInd/>
        <w:snapToGrid/>
        <w:spacing w:line="572" w:lineRule="exact"/>
        <w:ind w:firstLine="640" w:firstLineChars="200"/>
        <w:contextualSpacing/>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是以国家为主体的收支活动，财政包括财政收入和财政支出两个部分。作为政治范畴，财政是国家为实现其职能，凭借政治权利参与部分社会产品和国民收入的分配和再分配所形成的一种特殊分配关系。作为经济范畴，财政是以国家为主体的经济行为，是政府集中一部分国民收入用于满足公共需要的收支活动，以达到优化资源配置、公平分配及经济稳定和发展的目标。</w:t>
      </w:r>
    </w:p>
    <w:p w14:paraId="659404E5">
      <w:pPr>
        <w:keepNext w:val="0"/>
        <w:keepLines w:val="0"/>
        <w:pageBreakBefore w:val="0"/>
        <w:widowControl w:val="0"/>
        <w:kinsoku/>
        <w:wordWrap/>
        <w:overflowPunct/>
        <w:topLinePunct w:val="0"/>
        <w:autoSpaceDE w:val="0"/>
        <w:autoSpaceDN w:val="0"/>
        <w:bidi w:val="0"/>
        <w:adjustRightInd/>
        <w:snapToGrid/>
        <w:spacing w:before="0" w:after="0" w:line="572" w:lineRule="exact"/>
        <w:ind w:firstLine="643" w:firstLineChars="200"/>
        <w:contextualSpacing/>
        <w:jc w:val="both"/>
        <w:textAlignment w:val="auto"/>
        <w:outlineLvl w:val="9"/>
        <w:rPr>
          <w:rFonts w:hint="eastAsia" w:ascii="仿宋_GB2312" w:hAnsi="仿宋_GB2312" w:eastAsia="仿宋_GB2312" w:cs="仿宋_GB2312"/>
          <w:b/>
          <w:bCs/>
          <w:color w:val="auto"/>
          <w:sz w:val="32"/>
          <w:szCs w:val="32"/>
        </w:rPr>
      </w:pPr>
      <w:bookmarkStart w:id="22" w:name="_Toc18169"/>
      <w:bookmarkStart w:id="23" w:name="_Toc20755"/>
      <w:bookmarkStart w:id="24" w:name="_Toc18447"/>
      <w:bookmarkStart w:id="25" w:name="_Toc10097"/>
      <w:bookmarkStart w:id="26" w:name="_Toc28779"/>
      <w:r>
        <w:rPr>
          <w:rFonts w:hint="eastAsia" w:ascii="仿宋_GB2312" w:hAnsi="仿宋_GB2312" w:eastAsia="仿宋_GB2312" w:cs="仿宋_GB2312"/>
          <w:b/>
          <w:bCs/>
          <w:color w:val="auto"/>
          <w:sz w:val="32"/>
          <w:szCs w:val="32"/>
        </w:rPr>
        <w:t>2.财政职能</w:t>
      </w:r>
      <w:bookmarkEnd w:id="22"/>
      <w:bookmarkEnd w:id="23"/>
      <w:bookmarkEnd w:id="24"/>
      <w:bookmarkEnd w:id="25"/>
      <w:bookmarkEnd w:id="26"/>
    </w:p>
    <w:p w14:paraId="06A44C6F">
      <w:pPr>
        <w:keepNext w:val="0"/>
        <w:keepLines w:val="0"/>
        <w:pageBreakBefore w:val="0"/>
        <w:widowControl w:val="0"/>
        <w:kinsoku/>
        <w:wordWrap/>
        <w:overflowPunct/>
        <w:topLinePunct w:val="0"/>
        <w:autoSpaceDE w:val="0"/>
        <w:autoSpaceDN w:val="0"/>
        <w:bidi w:val="0"/>
        <w:adjustRightInd/>
        <w:snapToGrid/>
        <w:spacing w:line="572" w:lineRule="exact"/>
        <w:ind w:firstLine="640" w:firstLineChars="200"/>
        <w:contextualSpacing/>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职能是指财政作为国家政府分配社会产品、调节经济活动的重要手段所具有的职责和功能。财政是履行和实现政府职能的手段，是国家治理的基础和重要支柱。财政职能包括优化资源配置、收入分配调节、监督管理、调控稳定经济。</w:t>
      </w:r>
    </w:p>
    <w:p w14:paraId="0091A804">
      <w:pPr>
        <w:keepNext w:val="0"/>
        <w:keepLines w:val="0"/>
        <w:pageBreakBefore w:val="0"/>
        <w:widowControl w:val="0"/>
        <w:kinsoku/>
        <w:wordWrap/>
        <w:overflowPunct/>
        <w:topLinePunct w:val="0"/>
        <w:autoSpaceDE w:val="0"/>
        <w:autoSpaceDN w:val="0"/>
        <w:bidi w:val="0"/>
        <w:adjustRightInd/>
        <w:snapToGrid/>
        <w:spacing w:before="0" w:after="0" w:line="572" w:lineRule="exact"/>
        <w:ind w:firstLine="643" w:firstLineChars="200"/>
        <w:contextualSpacing/>
        <w:jc w:val="both"/>
        <w:textAlignment w:val="auto"/>
        <w:outlineLvl w:val="9"/>
        <w:rPr>
          <w:rFonts w:hint="eastAsia" w:ascii="仿宋_GB2312" w:hAnsi="仿宋_GB2312" w:eastAsia="仿宋_GB2312" w:cs="仿宋_GB2312"/>
          <w:b/>
          <w:bCs/>
          <w:color w:val="auto"/>
          <w:sz w:val="32"/>
          <w:szCs w:val="32"/>
        </w:rPr>
      </w:pPr>
      <w:bookmarkStart w:id="27" w:name="_Toc12364"/>
      <w:bookmarkStart w:id="28" w:name="_Toc20089"/>
      <w:bookmarkStart w:id="29" w:name="_Toc9551"/>
      <w:bookmarkStart w:id="30" w:name="_Toc11733"/>
      <w:bookmarkStart w:id="31" w:name="_Toc27561"/>
      <w:r>
        <w:rPr>
          <w:rFonts w:hint="eastAsia" w:ascii="仿宋_GB2312" w:hAnsi="仿宋_GB2312" w:eastAsia="仿宋_GB2312" w:cs="仿宋_GB2312"/>
          <w:b/>
          <w:bCs/>
          <w:color w:val="auto"/>
          <w:sz w:val="32"/>
          <w:szCs w:val="32"/>
        </w:rPr>
        <w:t>3.财政收入</w:t>
      </w:r>
      <w:bookmarkEnd w:id="27"/>
      <w:bookmarkEnd w:id="28"/>
      <w:bookmarkEnd w:id="29"/>
      <w:bookmarkEnd w:id="30"/>
      <w:bookmarkEnd w:id="31"/>
    </w:p>
    <w:p w14:paraId="0158379B">
      <w:pPr>
        <w:keepNext w:val="0"/>
        <w:keepLines w:val="0"/>
        <w:pageBreakBefore w:val="0"/>
        <w:widowControl w:val="0"/>
        <w:kinsoku/>
        <w:wordWrap/>
        <w:overflowPunct/>
        <w:topLinePunct w:val="0"/>
        <w:autoSpaceDE w:val="0"/>
        <w:autoSpaceDN w:val="0"/>
        <w:bidi w:val="0"/>
        <w:adjustRightInd/>
        <w:snapToGrid/>
        <w:spacing w:line="572" w:lineRule="exact"/>
        <w:ind w:firstLine="640" w:firstLineChars="200"/>
        <w:contextualSpacing/>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财政收入是指政府为履行其职能、实施公共政策和提供公共物品与服务需要而筹集的一切资金的总和，财政收入是衡量政府财力的重要指标，包括税收收入与非税收入。</w:t>
      </w:r>
    </w:p>
    <w:p w14:paraId="6539C094">
      <w:pPr>
        <w:keepNext w:val="0"/>
        <w:keepLines w:val="0"/>
        <w:pageBreakBefore w:val="0"/>
        <w:widowControl w:val="0"/>
        <w:kinsoku/>
        <w:wordWrap/>
        <w:overflowPunct/>
        <w:topLinePunct w:val="0"/>
        <w:autoSpaceDE w:val="0"/>
        <w:autoSpaceDN w:val="0"/>
        <w:bidi w:val="0"/>
        <w:adjustRightInd/>
        <w:snapToGrid/>
        <w:spacing w:line="572" w:lineRule="exact"/>
        <w:ind w:firstLine="640" w:firstLineChars="200"/>
        <w:contextualSpacing/>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税收收入是指国家依据国家政权力无偿征收的收入，也是财政收入的主要来源。当前我国的18个税种分别为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增值税、土地增值税、城镇土地使用税、城市维护建设税、房产税、企业所得税、车船税、资源税、环境保护税、印花税、船舶吨税、个人所得税、消费税、车辆购置税、耕地占用税、关税、烟叶税、契税。</w:t>
      </w:r>
    </w:p>
    <w:p w14:paraId="025A0C1C">
      <w:pPr>
        <w:keepNext w:val="0"/>
        <w:keepLines w:val="0"/>
        <w:pageBreakBefore w:val="0"/>
        <w:widowControl w:val="0"/>
        <w:kinsoku/>
        <w:wordWrap/>
        <w:overflowPunct/>
        <w:topLinePunct w:val="0"/>
        <w:autoSpaceDE w:val="0"/>
        <w:autoSpaceDN w:val="0"/>
        <w:bidi w:val="0"/>
        <w:adjustRightInd/>
        <w:snapToGrid/>
        <w:spacing w:line="572" w:lineRule="exact"/>
        <w:ind w:firstLine="640" w:firstLineChars="200"/>
        <w:contextualSpacing/>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非税收入是指除税收收入和政府债务收入外，由国家机关、事业单位、代行政府职能的社会团体和其他组织依法利用政府权力、政府荣誉、国家资源、国有资产或者提供特定公共服务，通过征收、收取、提取、募集、罚没等方式（统称征收）取得的财政资金。非税收入包括行政事业性收费、政府性基金、国有资源有偿使用收入、国有资产有偿使用收入、按照规定上缴财政的国有资本经营收益、罚没收入、以政府名义接受的非定向捐赠货币收入、主管部门集中收入、其他依照规定应当纳入政府非税收入管理的资金。</w:t>
      </w:r>
    </w:p>
    <w:p w14:paraId="3AAFF8BF">
      <w:pPr>
        <w:keepNext w:val="0"/>
        <w:keepLines w:val="0"/>
        <w:pageBreakBefore w:val="0"/>
        <w:widowControl w:val="0"/>
        <w:kinsoku/>
        <w:wordWrap/>
        <w:overflowPunct/>
        <w:topLinePunct w:val="0"/>
        <w:autoSpaceDE w:val="0"/>
        <w:autoSpaceDN w:val="0"/>
        <w:bidi w:val="0"/>
        <w:adjustRightInd/>
        <w:snapToGrid/>
        <w:spacing w:before="0" w:after="0" w:line="572" w:lineRule="exact"/>
        <w:ind w:firstLine="643" w:firstLineChars="200"/>
        <w:contextualSpacing/>
        <w:jc w:val="both"/>
        <w:textAlignment w:val="auto"/>
        <w:outlineLvl w:val="9"/>
        <w:rPr>
          <w:rFonts w:hint="eastAsia" w:ascii="仿宋_GB2312" w:hAnsi="仿宋_GB2312" w:eastAsia="仿宋_GB2312" w:cs="仿宋_GB2312"/>
          <w:b/>
          <w:bCs/>
          <w:color w:val="auto"/>
          <w:sz w:val="32"/>
          <w:szCs w:val="32"/>
        </w:rPr>
      </w:pPr>
      <w:bookmarkStart w:id="32" w:name="_Toc12044"/>
      <w:bookmarkStart w:id="33" w:name="_Toc20378"/>
      <w:bookmarkStart w:id="34" w:name="_Toc24143"/>
      <w:bookmarkStart w:id="35" w:name="_Toc32669"/>
      <w:bookmarkStart w:id="36" w:name="_Toc11551"/>
      <w:r>
        <w:rPr>
          <w:rFonts w:hint="eastAsia" w:ascii="仿宋_GB2312" w:hAnsi="仿宋_GB2312" w:eastAsia="仿宋_GB2312" w:cs="仿宋_GB2312"/>
          <w:b/>
          <w:bCs/>
          <w:color w:val="auto"/>
          <w:sz w:val="32"/>
          <w:szCs w:val="32"/>
        </w:rPr>
        <w:t>4.财政支出</w:t>
      </w:r>
      <w:bookmarkEnd w:id="32"/>
      <w:bookmarkEnd w:id="33"/>
      <w:bookmarkEnd w:id="34"/>
      <w:bookmarkEnd w:id="35"/>
      <w:bookmarkEnd w:id="36"/>
    </w:p>
    <w:p w14:paraId="7D65C4DB">
      <w:pPr>
        <w:keepNext w:val="0"/>
        <w:keepLines w:val="0"/>
        <w:pageBreakBefore w:val="0"/>
        <w:widowControl w:val="0"/>
        <w:kinsoku/>
        <w:wordWrap/>
        <w:overflowPunct/>
        <w:topLinePunct w:val="0"/>
        <w:autoSpaceDE w:val="0"/>
        <w:autoSpaceDN w:val="0"/>
        <w:bidi w:val="0"/>
        <w:adjustRightInd/>
        <w:snapToGrid/>
        <w:spacing w:line="572" w:lineRule="exact"/>
        <w:ind w:firstLine="640" w:firstLineChars="200"/>
        <w:contextualSpacing/>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支出是政府为提供公共产品和服务，满足社会共同需要而进行的财政资金的支付。为准确反应和科学分析支出活动的性质、结构、规模以及支出的效益，将财政支出的内容进行合理的归纳。我国现行支出分类采用了国际通行做法，即同时使用支出功能分类和支出经济分类两种方法对财政支出进行分类。</w:t>
      </w:r>
    </w:p>
    <w:p w14:paraId="06188DCA">
      <w:pPr>
        <w:keepNext w:val="0"/>
        <w:keepLines w:val="0"/>
        <w:pageBreakBefore w:val="0"/>
        <w:widowControl w:val="0"/>
        <w:kinsoku/>
        <w:wordWrap/>
        <w:overflowPunct/>
        <w:topLinePunct w:val="0"/>
        <w:autoSpaceDE w:val="0"/>
        <w:autoSpaceDN w:val="0"/>
        <w:bidi w:val="0"/>
        <w:adjustRightInd/>
        <w:snapToGrid/>
        <w:spacing w:line="572" w:lineRule="exact"/>
        <w:ind w:firstLine="640" w:firstLineChars="200"/>
        <w:contextualSpacing/>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功能分类是按政府主要职能活动分类，反应政府做什么。按照功能分类，财政支出分为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一般公共服务支出，外交、公共安全、国防支出，农业、环境保护支出，教育、科技、文化、卫生、体育支出，社会保障及就业支出和其他支出。</w:t>
      </w:r>
    </w:p>
    <w:p w14:paraId="150DC84A">
      <w:pPr>
        <w:keepNext w:val="0"/>
        <w:keepLines w:val="0"/>
        <w:pageBreakBefore w:val="0"/>
        <w:widowControl w:val="0"/>
        <w:kinsoku/>
        <w:wordWrap/>
        <w:overflowPunct/>
        <w:topLinePunct w:val="0"/>
        <w:autoSpaceDE w:val="0"/>
        <w:autoSpaceDN w:val="0"/>
        <w:bidi w:val="0"/>
        <w:adjustRightInd/>
        <w:snapToGrid/>
        <w:spacing w:line="572" w:lineRule="exact"/>
        <w:ind w:firstLine="640" w:firstLineChars="200"/>
        <w:contextualSpacing/>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经济分类是按支出的经济性质和具体用途分类，反应政府的钱怎么花。按照经济分类，财政支出分为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工资福利支出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商品和服务支出，资本性支出和其他支出。</w:t>
      </w:r>
    </w:p>
    <w:p w14:paraId="02E1874E">
      <w:pPr>
        <w:keepNext w:val="0"/>
        <w:keepLines w:val="0"/>
        <w:pageBreakBefore w:val="0"/>
        <w:widowControl w:val="0"/>
        <w:kinsoku/>
        <w:wordWrap/>
        <w:overflowPunct/>
        <w:topLinePunct w:val="0"/>
        <w:autoSpaceDE w:val="0"/>
        <w:autoSpaceDN w:val="0"/>
        <w:bidi w:val="0"/>
        <w:adjustRightInd/>
        <w:snapToGrid/>
        <w:spacing w:before="0" w:after="0" w:line="572" w:lineRule="exact"/>
        <w:ind w:firstLine="643" w:firstLineChars="200"/>
        <w:contextualSpacing/>
        <w:jc w:val="both"/>
        <w:textAlignment w:val="auto"/>
        <w:outlineLvl w:val="9"/>
        <w:rPr>
          <w:rFonts w:hint="eastAsia" w:ascii="仿宋_GB2312" w:hAnsi="仿宋_GB2312" w:eastAsia="仿宋_GB2312" w:cs="仿宋_GB2312"/>
          <w:b/>
          <w:bCs/>
          <w:color w:val="auto"/>
          <w:sz w:val="32"/>
          <w:szCs w:val="32"/>
        </w:rPr>
      </w:pPr>
      <w:bookmarkStart w:id="37" w:name="_Toc9141"/>
      <w:bookmarkStart w:id="38" w:name="_Toc21115"/>
      <w:bookmarkStart w:id="39" w:name="_Toc7862"/>
      <w:bookmarkStart w:id="40" w:name="_Toc11100"/>
      <w:bookmarkStart w:id="41" w:name="_Toc630"/>
      <w:r>
        <w:rPr>
          <w:rFonts w:hint="eastAsia" w:ascii="仿宋_GB2312" w:hAnsi="仿宋_GB2312" w:eastAsia="仿宋_GB2312" w:cs="仿宋_GB2312"/>
          <w:b/>
          <w:bCs/>
          <w:color w:val="auto"/>
          <w:sz w:val="32"/>
          <w:szCs w:val="32"/>
        </w:rPr>
        <w:t>5.政府债务</w:t>
      </w:r>
      <w:bookmarkEnd w:id="37"/>
      <w:bookmarkEnd w:id="38"/>
      <w:bookmarkEnd w:id="39"/>
      <w:bookmarkEnd w:id="40"/>
      <w:bookmarkEnd w:id="41"/>
    </w:p>
    <w:p w14:paraId="0CD4B502">
      <w:pPr>
        <w:keepNext w:val="0"/>
        <w:keepLines w:val="0"/>
        <w:pageBreakBefore w:val="0"/>
        <w:widowControl w:val="0"/>
        <w:kinsoku/>
        <w:wordWrap/>
        <w:overflowPunct/>
        <w:topLinePunct w:val="0"/>
        <w:autoSpaceDE w:val="0"/>
        <w:autoSpaceDN w:val="0"/>
        <w:bidi w:val="0"/>
        <w:adjustRightInd/>
        <w:snapToGrid/>
        <w:spacing w:line="572" w:lineRule="exact"/>
        <w:ind w:firstLine="640" w:firstLineChars="200"/>
        <w:contextualSpacing/>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政府债务是指政府在国内外发行的债券或向外国政府和银行借款所形成的，确定由财政资金偿还的债务。政府债务包括中央政府债务和地方政府债务。</w:t>
      </w:r>
    </w:p>
    <w:p w14:paraId="17404516">
      <w:pPr>
        <w:keepNext w:val="0"/>
        <w:keepLines w:val="0"/>
        <w:pageBreakBefore w:val="0"/>
        <w:widowControl w:val="0"/>
        <w:kinsoku/>
        <w:wordWrap/>
        <w:overflowPunct/>
        <w:topLinePunct w:val="0"/>
        <w:autoSpaceDE w:val="0"/>
        <w:autoSpaceDN w:val="0"/>
        <w:bidi w:val="0"/>
        <w:adjustRightInd/>
        <w:snapToGrid/>
        <w:spacing w:line="572" w:lineRule="exact"/>
        <w:ind w:firstLine="640" w:firstLineChars="200"/>
        <w:contextualSpacing/>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央政府债务即国债，是国家以其信用为基础，按照信用原则向社会筹集财政资金所形成的债务。国债与其他财政收入（如税收等）形式相比，具有自愿性、有偿性、灵活性的特点。我国从2006年开始对国债实行余额管理，即每年全国人大及其常委会为当年国债余额规定一个限额指标，中央政府可在当年限额指标内自行确定国债品种结构、期限结构和发债节奏。</w:t>
      </w:r>
    </w:p>
    <w:p w14:paraId="1FB7E95C">
      <w:pPr>
        <w:keepNext w:val="0"/>
        <w:keepLines w:val="0"/>
        <w:pageBreakBefore w:val="0"/>
        <w:widowControl w:val="0"/>
        <w:kinsoku/>
        <w:wordWrap/>
        <w:overflowPunct/>
        <w:topLinePunct w:val="0"/>
        <w:autoSpaceDE w:val="0"/>
        <w:autoSpaceDN w:val="0"/>
        <w:bidi w:val="0"/>
        <w:adjustRightInd/>
        <w:snapToGrid/>
        <w:spacing w:line="572" w:lineRule="exact"/>
        <w:ind w:firstLine="640" w:firstLineChars="200"/>
        <w:contextualSpacing/>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方政府债务是指地方政府为公益性事业发展举借，确定由财政资金偿还的债务。预算法规定，经国务院批准的省、自治区、直辖市等预算中必需的建设投资的部分资金，可以在国务院确定的限额内，通过发行地方政府债券举借债务的方式筹措。除以上规定外，地方政府及其所属部门不得以任何方式举借债务。除法律另有规定外，地方政府及其所属部门不得为任何单位和个人的债务以任何方式提供担保。从2015年起，国家对地方政府债务余额实行限额管理，债务余额不得突破批准的债务限额。年度地方政府债务限额等于上年地方政府债务限额加上当年新增债务限额（或减去当年调减债务限额），具体又分为一般债务限额和专项债务限额。通过财政资金偿还的政府外债纳入债务限额管理。</w:t>
      </w:r>
    </w:p>
    <w:p w14:paraId="614082AE">
      <w:pPr>
        <w:keepNext w:val="0"/>
        <w:keepLines w:val="0"/>
        <w:pageBreakBefore w:val="0"/>
        <w:widowControl w:val="0"/>
        <w:kinsoku/>
        <w:wordWrap/>
        <w:overflowPunct/>
        <w:topLinePunct w:val="0"/>
        <w:autoSpaceDE w:val="0"/>
        <w:autoSpaceDN w:val="0"/>
        <w:bidi w:val="0"/>
        <w:adjustRightInd/>
        <w:snapToGrid/>
        <w:spacing w:line="572" w:lineRule="exact"/>
        <w:ind w:firstLine="640" w:firstLineChars="200"/>
        <w:contextualSpacing/>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地方政府债务分为一般债务和专项债务。</w:t>
      </w:r>
    </w:p>
    <w:p w14:paraId="5A16FB3F">
      <w:pPr>
        <w:keepNext w:val="0"/>
        <w:keepLines w:val="0"/>
        <w:pageBreakBefore w:val="0"/>
        <w:widowControl w:val="0"/>
        <w:kinsoku/>
        <w:wordWrap/>
        <w:overflowPunct/>
        <w:topLinePunct w:val="0"/>
        <w:autoSpaceDE w:val="0"/>
        <w:autoSpaceDN w:val="0"/>
        <w:bidi w:val="0"/>
        <w:adjustRightInd/>
        <w:snapToGrid/>
        <w:spacing w:line="572" w:lineRule="exact"/>
        <w:ind w:firstLine="640" w:firstLineChars="200"/>
        <w:contextualSpacing/>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一般债务是指没有收益的公益性事业发展举借，主要以一般公共预算收入偿还的政府债务，由地方政府发行一般债券融资，纳入一般公共预算管理。</w:t>
      </w:r>
    </w:p>
    <w:p w14:paraId="3E3E37A8">
      <w:pPr>
        <w:keepNext w:val="0"/>
        <w:keepLines w:val="0"/>
        <w:pageBreakBefore w:val="0"/>
        <w:widowControl w:val="0"/>
        <w:kinsoku/>
        <w:wordWrap/>
        <w:overflowPunct/>
        <w:topLinePunct w:val="0"/>
        <w:autoSpaceDE w:val="0"/>
        <w:autoSpaceDN w:val="0"/>
        <w:bidi w:val="0"/>
        <w:adjustRightInd/>
        <w:snapToGrid/>
        <w:spacing w:line="572" w:lineRule="exact"/>
        <w:ind w:firstLine="640" w:firstLineChars="200"/>
        <w:contextualSpacing/>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专项债务是指有一定收益的公益性事业发展举借，以对应的政府性基金或专项收入偿还的政府债务，由地方政府通过发行专项债券融资，纳入政府性基金预算管理。</w:t>
      </w:r>
    </w:p>
    <w:p w14:paraId="52CADCD1">
      <w:pPr>
        <w:keepNext w:val="0"/>
        <w:keepLines w:val="0"/>
        <w:pageBreakBefore w:val="0"/>
        <w:widowControl w:val="0"/>
        <w:kinsoku/>
        <w:wordWrap/>
        <w:overflowPunct/>
        <w:topLinePunct w:val="0"/>
        <w:autoSpaceDE w:val="0"/>
        <w:autoSpaceDN w:val="0"/>
        <w:bidi w:val="0"/>
        <w:adjustRightInd/>
        <w:snapToGrid/>
        <w:spacing w:before="0" w:after="0" w:line="572" w:lineRule="exact"/>
        <w:ind w:firstLine="643" w:firstLineChars="200"/>
        <w:contextualSpacing/>
        <w:jc w:val="both"/>
        <w:textAlignment w:val="auto"/>
        <w:outlineLvl w:val="9"/>
        <w:rPr>
          <w:rFonts w:hint="eastAsia" w:ascii="仿宋_GB2312" w:hAnsi="仿宋_GB2312" w:eastAsia="仿宋_GB2312" w:cs="仿宋_GB2312"/>
          <w:b/>
          <w:bCs/>
          <w:color w:val="auto"/>
          <w:sz w:val="32"/>
          <w:szCs w:val="32"/>
        </w:rPr>
      </w:pPr>
      <w:bookmarkStart w:id="42" w:name="_Toc14253"/>
      <w:bookmarkStart w:id="43" w:name="_Toc27272"/>
      <w:bookmarkStart w:id="44" w:name="_Toc25806"/>
      <w:bookmarkStart w:id="45" w:name="_Toc1758"/>
      <w:bookmarkStart w:id="46" w:name="_Toc5389"/>
      <w:r>
        <w:rPr>
          <w:rFonts w:hint="eastAsia" w:ascii="仿宋_GB2312" w:hAnsi="仿宋_GB2312" w:eastAsia="仿宋_GB2312" w:cs="仿宋_GB2312"/>
          <w:b/>
          <w:bCs/>
          <w:color w:val="auto"/>
          <w:sz w:val="32"/>
          <w:szCs w:val="32"/>
        </w:rPr>
        <w:t>6.财政体制</w:t>
      </w:r>
      <w:bookmarkEnd w:id="42"/>
      <w:bookmarkEnd w:id="43"/>
      <w:bookmarkEnd w:id="44"/>
      <w:bookmarkEnd w:id="45"/>
      <w:bookmarkEnd w:id="46"/>
    </w:p>
    <w:p w14:paraId="3B0A0C6D">
      <w:pPr>
        <w:keepNext w:val="0"/>
        <w:keepLines w:val="0"/>
        <w:pageBreakBefore w:val="0"/>
        <w:widowControl w:val="0"/>
        <w:kinsoku/>
        <w:wordWrap/>
        <w:overflowPunct/>
        <w:topLinePunct w:val="0"/>
        <w:autoSpaceDE w:val="0"/>
        <w:autoSpaceDN w:val="0"/>
        <w:bidi w:val="0"/>
        <w:adjustRightInd/>
        <w:snapToGrid/>
        <w:spacing w:line="572" w:lineRule="exact"/>
        <w:ind w:firstLine="640" w:firstLineChars="200"/>
        <w:contextualSpacing/>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财政体制是指处理政府间财政关系的基本制度。科学的财税体制是优化资源配置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维护市场统一、促进社会公平、实现国家长治久安的制度保障。财政体制基本要素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财政转移支付、收入划分、政府间财政事权和支出责任划分。</w:t>
      </w:r>
    </w:p>
    <w:p w14:paraId="3F1DD2A0">
      <w:pPr>
        <w:keepNext w:val="0"/>
        <w:keepLines w:val="0"/>
        <w:pageBreakBefore w:val="0"/>
        <w:widowControl w:val="0"/>
        <w:kinsoku/>
        <w:wordWrap/>
        <w:overflowPunct/>
        <w:topLinePunct w:val="0"/>
        <w:autoSpaceDE w:val="0"/>
        <w:autoSpaceDN w:val="0"/>
        <w:bidi w:val="0"/>
        <w:adjustRightInd/>
        <w:snapToGrid/>
        <w:spacing w:before="0" w:after="0" w:line="572" w:lineRule="exact"/>
        <w:ind w:firstLine="643" w:firstLineChars="200"/>
        <w:contextualSpacing/>
        <w:jc w:val="both"/>
        <w:textAlignment w:val="auto"/>
        <w:outlineLvl w:val="9"/>
        <w:rPr>
          <w:rFonts w:hint="eastAsia" w:ascii="仿宋_GB2312" w:hAnsi="仿宋_GB2312" w:eastAsia="仿宋_GB2312" w:cs="仿宋_GB2312"/>
          <w:b/>
          <w:bCs/>
          <w:color w:val="auto"/>
          <w:sz w:val="32"/>
          <w:szCs w:val="32"/>
        </w:rPr>
      </w:pPr>
      <w:bookmarkStart w:id="47" w:name="_Toc821"/>
      <w:bookmarkStart w:id="48" w:name="_Toc29116"/>
      <w:bookmarkStart w:id="49" w:name="_Toc11981"/>
      <w:bookmarkStart w:id="50" w:name="_Toc24739"/>
      <w:bookmarkStart w:id="51" w:name="_Toc29121"/>
      <w:r>
        <w:rPr>
          <w:rFonts w:hint="eastAsia" w:ascii="仿宋_GB2312" w:hAnsi="仿宋_GB2312" w:eastAsia="仿宋_GB2312" w:cs="仿宋_GB2312"/>
          <w:b/>
          <w:bCs/>
          <w:color w:val="auto"/>
          <w:sz w:val="32"/>
          <w:szCs w:val="32"/>
        </w:rPr>
        <w:t>7.现行财政体制</w:t>
      </w:r>
      <w:bookmarkEnd w:id="47"/>
      <w:bookmarkEnd w:id="48"/>
      <w:bookmarkEnd w:id="49"/>
      <w:bookmarkEnd w:id="50"/>
      <w:bookmarkEnd w:id="51"/>
    </w:p>
    <w:p w14:paraId="5B5AA5DD">
      <w:pPr>
        <w:keepNext w:val="0"/>
        <w:keepLines w:val="0"/>
        <w:pageBreakBefore w:val="0"/>
        <w:widowControl w:val="0"/>
        <w:kinsoku/>
        <w:wordWrap/>
        <w:overflowPunct/>
        <w:topLinePunct w:val="0"/>
        <w:autoSpaceDE w:val="0"/>
        <w:autoSpaceDN w:val="0"/>
        <w:bidi w:val="0"/>
        <w:adjustRightInd/>
        <w:snapToGrid/>
        <w:spacing w:line="572" w:lineRule="exact"/>
        <w:ind w:firstLine="640" w:firstLineChars="200"/>
        <w:contextualSpacing/>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我国实行分税制财政管理体制，简称分税制，是指在合理划分各级政府财政事权范围的基础上确定其相应的财权和支出责任，通过税种的划分形成中央与地方的收入体系。</w:t>
      </w:r>
    </w:p>
    <w:p w14:paraId="095E845F">
      <w:pPr>
        <w:keepNext w:val="0"/>
        <w:keepLines w:val="0"/>
        <w:pageBreakBefore w:val="0"/>
        <w:widowControl w:val="0"/>
        <w:kinsoku/>
        <w:wordWrap/>
        <w:overflowPunct/>
        <w:topLinePunct w:val="0"/>
        <w:autoSpaceDE w:val="0"/>
        <w:autoSpaceDN w:val="0"/>
        <w:bidi w:val="0"/>
        <w:adjustRightInd/>
        <w:snapToGrid/>
        <w:spacing w:line="572" w:lineRule="exact"/>
        <w:ind w:firstLine="640" w:firstLineChars="200"/>
        <w:contextualSpacing/>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财政事权和支出责任划分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2016年8月，国务院印发《国务院关于推进中央与地方财政事权和支出责任划分改革的指导意见》，为分领域改革有序展开奠定基础。2018年1月，国务院办公厅印发了《基本公共服务领域中央与地方共同财政事权和支出责任划分改革方案》，将教育、医疗卫生、社会保障等领域8大类18项基本公共服务事项，明确为中央与地方共同财政事权，规范划分支出责任，自2019年1月1日起实施。中央改革方案明确，地方承担的支出责任由省级政府考虑本地区实际合理划分。</w:t>
      </w:r>
    </w:p>
    <w:p w14:paraId="43D35B64">
      <w:pPr>
        <w:keepNext w:val="0"/>
        <w:keepLines w:val="0"/>
        <w:pageBreakBefore w:val="0"/>
        <w:widowControl w:val="0"/>
        <w:kinsoku/>
        <w:wordWrap/>
        <w:overflowPunct/>
        <w:topLinePunct w:val="0"/>
        <w:autoSpaceDE w:val="0"/>
        <w:autoSpaceDN w:val="0"/>
        <w:bidi w:val="0"/>
        <w:adjustRightInd/>
        <w:snapToGrid/>
        <w:spacing w:line="572" w:lineRule="exact"/>
        <w:ind w:firstLine="640" w:firstLineChars="200"/>
        <w:contextualSpacing/>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收入划分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将维护国家权益、实施宏观调控所必需的税种划为中央税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将同经济发展直接相关的主要税种划为中央与地方共享税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将适合地方征管的税种划为地方税，并调整、充实了地方税种，增加地方税收入。现行中央对地方税收返还包括</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增值税返还、消费税基数返还、所得税基数返还以及成品油价格和税费改革税收返还。</w:t>
      </w:r>
    </w:p>
    <w:p w14:paraId="447A5A98">
      <w:pPr>
        <w:keepNext w:val="0"/>
        <w:keepLines w:val="0"/>
        <w:pageBreakBefore w:val="0"/>
        <w:widowControl w:val="0"/>
        <w:kinsoku/>
        <w:wordWrap/>
        <w:overflowPunct/>
        <w:topLinePunct w:val="0"/>
        <w:autoSpaceDE w:val="0"/>
        <w:autoSpaceDN w:val="0"/>
        <w:bidi w:val="0"/>
        <w:adjustRightInd/>
        <w:snapToGrid/>
        <w:spacing w:line="572" w:lineRule="exact"/>
        <w:ind w:firstLine="640" w:firstLineChars="200"/>
        <w:contextualSpacing/>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转移支付是指中央政府（或上级政府）对地方政府（或下级政府）进行无偿的财政资金转移所制定的制度。转移支付包括一般性转移支付和专项转移支付。一般性转移支付是指中央政府（或上级政府）对有财力缺口的地方政府（或下级政府），按照规定的办法给予的补助，地方政府（或下级政府）可以按照相关规定统筹安排使用。专项转移支付是指中央政府（或上级政府）对承担委托事务、共同事务的地方政府（或下级政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给予的具有指定用途的资金补助，以及对应当由地方政府（或下级政府）承担的事务，给予的具有指定用途的奖励或补助。</w:t>
      </w:r>
    </w:p>
    <w:p w14:paraId="630A23F5">
      <w:pPr>
        <w:keepNext w:val="0"/>
        <w:keepLines w:val="0"/>
        <w:pageBreakBefore w:val="0"/>
        <w:widowControl w:val="0"/>
        <w:kinsoku/>
        <w:wordWrap/>
        <w:overflowPunct/>
        <w:topLinePunct w:val="0"/>
        <w:autoSpaceDE w:val="0"/>
        <w:autoSpaceDN w:val="0"/>
        <w:bidi w:val="0"/>
        <w:adjustRightInd/>
        <w:snapToGrid/>
        <w:spacing w:before="0" w:after="0" w:line="572" w:lineRule="exact"/>
        <w:ind w:firstLine="643" w:firstLineChars="200"/>
        <w:contextualSpacing/>
        <w:jc w:val="both"/>
        <w:textAlignment w:val="auto"/>
        <w:outlineLvl w:val="9"/>
        <w:rPr>
          <w:rFonts w:hint="eastAsia" w:ascii="仿宋_GB2312" w:hAnsi="仿宋_GB2312" w:eastAsia="仿宋_GB2312" w:cs="仿宋_GB2312"/>
          <w:b/>
          <w:bCs/>
          <w:color w:val="auto"/>
          <w:sz w:val="32"/>
          <w:szCs w:val="32"/>
        </w:rPr>
      </w:pPr>
      <w:bookmarkStart w:id="52" w:name="_Toc2577"/>
      <w:bookmarkStart w:id="53" w:name="_Toc16961"/>
      <w:bookmarkStart w:id="54" w:name="_Toc242"/>
      <w:bookmarkStart w:id="55" w:name="_Toc13718"/>
      <w:bookmarkStart w:id="56" w:name="_Toc7454"/>
      <w:r>
        <w:rPr>
          <w:rFonts w:hint="eastAsia" w:ascii="仿宋_GB2312" w:hAnsi="仿宋_GB2312" w:eastAsia="仿宋_GB2312" w:cs="仿宋_GB2312"/>
          <w:b/>
          <w:bCs/>
          <w:color w:val="auto"/>
          <w:sz w:val="32"/>
          <w:szCs w:val="32"/>
        </w:rPr>
        <w:t>8.政府预算</w:t>
      </w:r>
      <w:bookmarkEnd w:id="52"/>
      <w:bookmarkEnd w:id="53"/>
      <w:bookmarkEnd w:id="54"/>
      <w:bookmarkEnd w:id="55"/>
      <w:bookmarkEnd w:id="56"/>
    </w:p>
    <w:p w14:paraId="0931F47F">
      <w:pPr>
        <w:keepNext w:val="0"/>
        <w:keepLines w:val="0"/>
        <w:pageBreakBefore w:val="0"/>
        <w:widowControl w:val="0"/>
        <w:kinsoku/>
        <w:wordWrap/>
        <w:overflowPunct/>
        <w:topLinePunct w:val="0"/>
        <w:autoSpaceDE w:val="0"/>
        <w:autoSpaceDN w:val="0"/>
        <w:bidi w:val="0"/>
        <w:adjustRightInd/>
        <w:snapToGrid/>
        <w:spacing w:line="572" w:lineRule="exact"/>
        <w:ind w:firstLine="640" w:firstLineChars="200"/>
        <w:contextualSpacing/>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政府预算是经法定程序审核批准的具有法律效力的政府年度财政收支计划。政府全部收支都纳入政府预算进行管理，并按照各自功能和定位，科学设置政府预算的结构和内容。政府预算包括一般公共预算、政府性基金预算、国有资本经营预算、社会保险基金预算。</w:t>
      </w:r>
    </w:p>
    <w:p w14:paraId="32653348">
      <w:pPr>
        <w:keepNext w:val="0"/>
        <w:keepLines w:val="0"/>
        <w:pageBreakBefore w:val="0"/>
        <w:widowControl w:val="0"/>
        <w:kinsoku/>
        <w:wordWrap/>
        <w:overflowPunct/>
        <w:topLinePunct w:val="0"/>
        <w:autoSpaceDE w:val="0"/>
        <w:autoSpaceDN w:val="0"/>
        <w:bidi w:val="0"/>
        <w:adjustRightInd/>
        <w:snapToGrid/>
        <w:spacing w:before="0" w:after="0" w:line="572" w:lineRule="exact"/>
        <w:ind w:firstLine="643" w:firstLineChars="200"/>
        <w:contextualSpacing/>
        <w:jc w:val="both"/>
        <w:textAlignment w:val="auto"/>
        <w:outlineLvl w:val="9"/>
        <w:rPr>
          <w:rFonts w:hint="eastAsia" w:ascii="仿宋_GB2312" w:hAnsi="仿宋_GB2312" w:eastAsia="仿宋_GB2312" w:cs="仿宋_GB2312"/>
          <w:b/>
          <w:bCs/>
          <w:color w:val="auto"/>
          <w:sz w:val="32"/>
          <w:szCs w:val="32"/>
        </w:rPr>
      </w:pPr>
      <w:bookmarkStart w:id="57" w:name="_Toc9739"/>
      <w:bookmarkStart w:id="58" w:name="_Toc20549"/>
      <w:bookmarkStart w:id="59" w:name="_Toc23177"/>
      <w:bookmarkStart w:id="60" w:name="_Toc32058"/>
      <w:bookmarkStart w:id="61" w:name="_Toc11564"/>
      <w:r>
        <w:rPr>
          <w:rFonts w:hint="eastAsia" w:ascii="仿宋_GB2312" w:hAnsi="仿宋_GB2312" w:eastAsia="仿宋_GB2312" w:cs="仿宋_GB2312"/>
          <w:b/>
          <w:bCs/>
          <w:color w:val="auto"/>
          <w:sz w:val="32"/>
          <w:szCs w:val="32"/>
        </w:rPr>
        <w:t>9.一般公共预算</w:t>
      </w:r>
      <w:bookmarkEnd w:id="57"/>
      <w:bookmarkEnd w:id="58"/>
      <w:bookmarkEnd w:id="59"/>
      <w:bookmarkEnd w:id="60"/>
      <w:bookmarkEnd w:id="61"/>
    </w:p>
    <w:p w14:paraId="1D272CE3">
      <w:pPr>
        <w:keepNext w:val="0"/>
        <w:keepLines w:val="0"/>
        <w:pageBreakBefore w:val="0"/>
        <w:widowControl w:val="0"/>
        <w:kinsoku/>
        <w:wordWrap/>
        <w:overflowPunct/>
        <w:topLinePunct w:val="0"/>
        <w:autoSpaceDE w:val="0"/>
        <w:autoSpaceDN w:val="0"/>
        <w:bidi w:val="0"/>
        <w:adjustRightInd/>
        <w:snapToGrid/>
        <w:spacing w:line="572" w:lineRule="exact"/>
        <w:ind w:firstLine="640" w:firstLineChars="200"/>
        <w:contextualSpacing/>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共预算是对以税收为主体的财政收入，安排用于保障和改善民生、推动经济社会发展、维护国家安全、维持国家机构正常运转等方面的收支预算。一般公共预算由税收收入、行政事业性收费收入、国有资源（资产）有偿使用收入、转移性收入、其他收入组成。</w:t>
      </w:r>
    </w:p>
    <w:p w14:paraId="3DBE36AD">
      <w:pPr>
        <w:keepNext w:val="0"/>
        <w:keepLines w:val="0"/>
        <w:pageBreakBefore w:val="0"/>
        <w:widowControl w:val="0"/>
        <w:kinsoku/>
        <w:wordWrap/>
        <w:overflowPunct/>
        <w:topLinePunct w:val="0"/>
        <w:autoSpaceDE w:val="0"/>
        <w:autoSpaceDN w:val="0"/>
        <w:bidi w:val="0"/>
        <w:adjustRightInd/>
        <w:snapToGrid/>
        <w:spacing w:before="0" w:after="0" w:line="572" w:lineRule="exact"/>
        <w:ind w:firstLine="643" w:firstLineChars="200"/>
        <w:contextualSpacing/>
        <w:jc w:val="both"/>
        <w:textAlignment w:val="auto"/>
        <w:outlineLvl w:val="9"/>
        <w:rPr>
          <w:rFonts w:hint="eastAsia" w:ascii="仿宋_GB2312" w:hAnsi="仿宋_GB2312" w:eastAsia="仿宋_GB2312" w:cs="仿宋_GB2312"/>
          <w:b/>
          <w:bCs/>
          <w:color w:val="auto"/>
          <w:sz w:val="32"/>
          <w:szCs w:val="32"/>
        </w:rPr>
      </w:pPr>
      <w:bookmarkStart w:id="62" w:name="_Toc9064"/>
      <w:bookmarkStart w:id="63" w:name="_Toc27419"/>
      <w:bookmarkStart w:id="64" w:name="_Toc169"/>
      <w:bookmarkStart w:id="65" w:name="_Toc24438"/>
      <w:bookmarkStart w:id="66" w:name="_Toc26328"/>
      <w:r>
        <w:rPr>
          <w:rFonts w:hint="eastAsia" w:ascii="仿宋_GB2312" w:hAnsi="仿宋_GB2312" w:eastAsia="仿宋_GB2312" w:cs="仿宋_GB2312"/>
          <w:b/>
          <w:bCs/>
          <w:color w:val="auto"/>
          <w:sz w:val="32"/>
          <w:szCs w:val="32"/>
        </w:rPr>
        <w:t>10.政府性基金预算</w:t>
      </w:r>
      <w:bookmarkEnd w:id="62"/>
      <w:bookmarkEnd w:id="63"/>
      <w:bookmarkEnd w:id="64"/>
      <w:bookmarkEnd w:id="65"/>
      <w:bookmarkEnd w:id="66"/>
    </w:p>
    <w:p w14:paraId="6DA36C71">
      <w:pPr>
        <w:keepNext w:val="0"/>
        <w:keepLines w:val="0"/>
        <w:pageBreakBefore w:val="0"/>
        <w:widowControl w:val="0"/>
        <w:kinsoku/>
        <w:wordWrap/>
        <w:overflowPunct/>
        <w:topLinePunct w:val="0"/>
        <w:autoSpaceDE w:val="0"/>
        <w:autoSpaceDN w:val="0"/>
        <w:bidi w:val="0"/>
        <w:adjustRightInd/>
        <w:snapToGrid/>
        <w:spacing w:line="572" w:lineRule="exact"/>
        <w:ind w:firstLine="640" w:firstLineChars="200"/>
        <w:contextualSpacing/>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政府性基金预算是对依照法律、行政法规的规定在一定期限内向特定对象征收、收取或者以其他方式筹集的资金，专项用于特定公共事业发展的收支预算。政府性基金预算应当根据基金项目收入情况和实际支出需要，按基金项目编制，做到以收定支。政府性基金预算由债务收入、非税收入、转移性收入组成。</w:t>
      </w:r>
    </w:p>
    <w:p w14:paraId="0DD07D28">
      <w:pPr>
        <w:keepNext w:val="0"/>
        <w:keepLines w:val="0"/>
        <w:pageBreakBefore w:val="0"/>
        <w:widowControl w:val="0"/>
        <w:kinsoku/>
        <w:wordWrap/>
        <w:overflowPunct/>
        <w:topLinePunct w:val="0"/>
        <w:autoSpaceDE w:val="0"/>
        <w:autoSpaceDN w:val="0"/>
        <w:bidi w:val="0"/>
        <w:adjustRightInd/>
        <w:snapToGrid/>
        <w:spacing w:before="0" w:after="0" w:line="572" w:lineRule="exact"/>
        <w:ind w:firstLine="643" w:firstLineChars="200"/>
        <w:contextualSpacing/>
        <w:jc w:val="both"/>
        <w:textAlignment w:val="auto"/>
        <w:outlineLvl w:val="9"/>
        <w:rPr>
          <w:rFonts w:hint="eastAsia" w:ascii="仿宋_GB2312" w:hAnsi="仿宋_GB2312" w:eastAsia="仿宋_GB2312" w:cs="仿宋_GB2312"/>
          <w:b/>
          <w:bCs/>
          <w:color w:val="auto"/>
          <w:sz w:val="32"/>
          <w:szCs w:val="32"/>
        </w:rPr>
      </w:pPr>
      <w:bookmarkStart w:id="67" w:name="_Toc26512"/>
      <w:bookmarkStart w:id="68" w:name="_Toc3321"/>
      <w:bookmarkStart w:id="69" w:name="_Toc6371"/>
      <w:bookmarkStart w:id="70" w:name="_Toc14866"/>
      <w:bookmarkStart w:id="71" w:name="_Toc6095"/>
      <w:r>
        <w:rPr>
          <w:rFonts w:hint="eastAsia" w:ascii="仿宋_GB2312" w:hAnsi="仿宋_GB2312" w:eastAsia="仿宋_GB2312" w:cs="仿宋_GB2312"/>
          <w:b/>
          <w:bCs/>
          <w:color w:val="auto"/>
          <w:sz w:val="32"/>
          <w:szCs w:val="32"/>
        </w:rPr>
        <w:t>11.国有资本经营预算</w:t>
      </w:r>
      <w:bookmarkEnd w:id="67"/>
      <w:bookmarkEnd w:id="68"/>
      <w:bookmarkEnd w:id="69"/>
      <w:bookmarkEnd w:id="70"/>
      <w:bookmarkEnd w:id="71"/>
    </w:p>
    <w:p w14:paraId="74ABBCCA">
      <w:pPr>
        <w:keepNext w:val="0"/>
        <w:keepLines w:val="0"/>
        <w:pageBreakBefore w:val="0"/>
        <w:widowControl w:val="0"/>
        <w:kinsoku/>
        <w:wordWrap/>
        <w:overflowPunct/>
        <w:topLinePunct w:val="0"/>
        <w:autoSpaceDE w:val="0"/>
        <w:autoSpaceDN w:val="0"/>
        <w:bidi w:val="0"/>
        <w:adjustRightInd/>
        <w:snapToGrid/>
        <w:spacing w:line="572" w:lineRule="exact"/>
        <w:ind w:firstLine="640" w:firstLineChars="200"/>
        <w:contextualSpacing/>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有资本经营预算是对国有资本收益作出支出安排的收支预算。国有资本经营预算应当按照收支平衡的原则编制，不列赤字，并安排资金调入一般公共预算。国有资本经营预算由利润收入、股利和股息收入、产权转让收入、清算收入、其他收入、转移支付收入组成。</w:t>
      </w:r>
    </w:p>
    <w:p w14:paraId="53D2A63A">
      <w:pPr>
        <w:keepNext w:val="0"/>
        <w:keepLines w:val="0"/>
        <w:pageBreakBefore w:val="0"/>
        <w:widowControl w:val="0"/>
        <w:kinsoku/>
        <w:wordWrap/>
        <w:overflowPunct/>
        <w:topLinePunct w:val="0"/>
        <w:autoSpaceDE w:val="0"/>
        <w:autoSpaceDN w:val="0"/>
        <w:bidi w:val="0"/>
        <w:adjustRightInd/>
        <w:snapToGrid/>
        <w:spacing w:before="0" w:after="0" w:line="572" w:lineRule="exact"/>
        <w:ind w:firstLine="643" w:firstLineChars="200"/>
        <w:contextualSpacing/>
        <w:jc w:val="both"/>
        <w:textAlignment w:val="auto"/>
        <w:outlineLvl w:val="9"/>
        <w:rPr>
          <w:rFonts w:hint="eastAsia" w:ascii="仿宋_GB2312" w:hAnsi="仿宋_GB2312" w:eastAsia="仿宋_GB2312" w:cs="仿宋_GB2312"/>
          <w:b/>
          <w:bCs/>
          <w:color w:val="auto"/>
          <w:sz w:val="32"/>
          <w:szCs w:val="32"/>
        </w:rPr>
      </w:pPr>
      <w:bookmarkStart w:id="72" w:name="_Toc29209"/>
      <w:bookmarkStart w:id="73" w:name="_Toc779"/>
      <w:bookmarkStart w:id="74" w:name="_Toc19927"/>
      <w:bookmarkStart w:id="75" w:name="_Toc23586"/>
      <w:bookmarkStart w:id="76" w:name="_Toc802"/>
      <w:r>
        <w:rPr>
          <w:rFonts w:hint="eastAsia" w:ascii="仿宋_GB2312" w:hAnsi="仿宋_GB2312" w:eastAsia="仿宋_GB2312" w:cs="仿宋_GB2312"/>
          <w:b/>
          <w:bCs/>
          <w:color w:val="auto"/>
          <w:sz w:val="32"/>
          <w:szCs w:val="32"/>
        </w:rPr>
        <w:t>12.社会保险基金预算</w:t>
      </w:r>
      <w:bookmarkEnd w:id="72"/>
      <w:bookmarkEnd w:id="73"/>
      <w:bookmarkEnd w:id="74"/>
      <w:bookmarkEnd w:id="75"/>
      <w:bookmarkEnd w:id="76"/>
    </w:p>
    <w:p w14:paraId="459DFA96">
      <w:pPr>
        <w:keepNext w:val="0"/>
        <w:keepLines w:val="0"/>
        <w:pageBreakBefore w:val="0"/>
        <w:widowControl w:val="0"/>
        <w:kinsoku/>
        <w:wordWrap/>
        <w:overflowPunct/>
        <w:topLinePunct w:val="0"/>
        <w:autoSpaceDE w:val="0"/>
        <w:autoSpaceDN w:val="0"/>
        <w:bidi w:val="0"/>
        <w:adjustRightInd/>
        <w:snapToGrid/>
        <w:spacing w:line="572" w:lineRule="exact"/>
        <w:ind w:firstLine="640" w:firstLineChars="200"/>
        <w:contextualSpacing/>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社会保险基金预算是对社会保险缴款、一般公共预算安排和其他方式筹集的资金，专项用于社会保险的收支预算。社会保险基金预算应当按照统筹层次和社会保险险种分别编制，做到收支平衡。</w:t>
      </w:r>
    </w:p>
    <w:p w14:paraId="183224A0">
      <w:pPr>
        <w:keepNext w:val="0"/>
        <w:keepLines w:val="0"/>
        <w:pageBreakBefore w:val="0"/>
        <w:widowControl w:val="0"/>
        <w:kinsoku/>
        <w:wordWrap/>
        <w:overflowPunct/>
        <w:topLinePunct w:val="0"/>
        <w:autoSpaceDE w:val="0"/>
        <w:autoSpaceDN w:val="0"/>
        <w:bidi w:val="0"/>
        <w:adjustRightInd/>
        <w:snapToGrid/>
        <w:spacing w:before="0" w:after="0" w:line="572" w:lineRule="exact"/>
        <w:ind w:firstLine="643" w:firstLineChars="200"/>
        <w:contextualSpacing/>
        <w:jc w:val="both"/>
        <w:textAlignment w:val="auto"/>
        <w:outlineLvl w:val="9"/>
        <w:rPr>
          <w:rFonts w:hint="eastAsia" w:ascii="仿宋_GB2312" w:hAnsi="仿宋_GB2312" w:eastAsia="仿宋_GB2312" w:cs="仿宋_GB2312"/>
          <w:b/>
          <w:bCs/>
          <w:color w:val="auto"/>
          <w:sz w:val="32"/>
          <w:szCs w:val="32"/>
        </w:rPr>
      </w:pPr>
      <w:bookmarkStart w:id="77" w:name="_Toc25268"/>
      <w:bookmarkStart w:id="78" w:name="_Toc24146"/>
      <w:bookmarkStart w:id="79" w:name="_Toc14603"/>
      <w:bookmarkStart w:id="80" w:name="_Toc28952"/>
      <w:bookmarkStart w:id="81" w:name="_Toc3885"/>
      <w:r>
        <w:rPr>
          <w:rFonts w:hint="eastAsia" w:ascii="仿宋_GB2312" w:hAnsi="仿宋_GB2312" w:eastAsia="仿宋_GB2312" w:cs="仿宋_GB2312"/>
          <w:b/>
          <w:bCs/>
          <w:color w:val="auto"/>
          <w:sz w:val="32"/>
          <w:szCs w:val="32"/>
        </w:rPr>
        <w:t>13.预算绩效管理</w:t>
      </w:r>
      <w:bookmarkEnd w:id="77"/>
      <w:bookmarkEnd w:id="78"/>
      <w:bookmarkEnd w:id="79"/>
      <w:bookmarkEnd w:id="80"/>
      <w:bookmarkEnd w:id="81"/>
    </w:p>
    <w:p w14:paraId="7126D7EE">
      <w:pPr>
        <w:keepNext w:val="0"/>
        <w:keepLines w:val="0"/>
        <w:pageBreakBefore w:val="0"/>
        <w:widowControl w:val="0"/>
        <w:kinsoku/>
        <w:wordWrap/>
        <w:overflowPunct/>
        <w:topLinePunct w:val="0"/>
        <w:autoSpaceDE w:val="0"/>
        <w:autoSpaceDN w:val="0"/>
        <w:bidi w:val="0"/>
        <w:adjustRightInd/>
        <w:snapToGrid/>
        <w:spacing w:line="572" w:lineRule="exact"/>
        <w:ind w:firstLine="640" w:firstLineChars="200"/>
        <w:contextualSpacing/>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面实施预算绩效管理是推进国家治理体系和治理能力现代化的内在要求，是深化财税体制改革、建立现代财政制度的重要内容，是优化财政资源配置、提升公共服务质量的关键举措。2018年9月，中共中央、国务院印发《关于全面实施预算绩效管理的意见》，加快建成全方位、全过程、全覆盖的预算绩效管理体系。</w:t>
      </w:r>
    </w:p>
    <w:p w14:paraId="249C552B">
      <w:pPr>
        <w:keepNext w:val="0"/>
        <w:keepLines w:val="0"/>
        <w:pageBreakBefore w:val="0"/>
        <w:widowControl w:val="0"/>
        <w:kinsoku/>
        <w:wordWrap/>
        <w:overflowPunct/>
        <w:topLinePunct w:val="0"/>
        <w:autoSpaceDE w:val="0"/>
        <w:autoSpaceDN w:val="0"/>
        <w:bidi w:val="0"/>
        <w:adjustRightInd/>
        <w:snapToGrid/>
        <w:spacing w:before="0" w:after="0" w:line="572" w:lineRule="exact"/>
        <w:ind w:firstLine="643" w:firstLineChars="200"/>
        <w:contextualSpacing/>
        <w:jc w:val="both"/>
        <w:textAlignment w:val="auto"/>
        <w:outlineLvl w:val="9"/>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rPr>
        <w:t>14.</w:t>
      </w:r>
      <w:r>
        <w:rPr>
          <w:rFonts w:hint="eastAsia" w:ascii="仿宋_GB2312" w:hAnsi="仿宋_GB2312" w:eastAsia="仿宋_GB2312" w:cs="仿宋_GB2312"/>
          <w:b/>
          <w:bCs/>
          <w:color w:val="auto"/>
          <w:sz w:val="32"/>
          <w:szCs w:val="32"/>
          <w:lang w:val="en-US" w:eastAsia="zh-CN"/>
        </w:rPr>
        <w:t>预算稳定调节基金</w:t>
      </w:r>
    </w:p>
    <w:p w14:paraId="2516D961">
      <w:pPr>
        <w:keepNext w:val="0"/>
        <w:keepLines w:val="0"/>
        <w:pageBreakBefore w:val="0"/>
        <w:widowControl w:val="0"/>
        <w:kinsoku/>
        <w:wordWrap/>
        <w:overflowPunct/>
        <w:topLinePunct w:val="0"/>
        <w:autoSpaceDE w:val="0"/>
        <w:autoSpaceDN w:val="0"/>
        <w:bidi w:val="0"/>
        <w:adjustRightInd/>
        <w:snapToGrid/>
        <w:spacing w:line="572" w:lineRule="exact"/>
        <w:ind w:firstLine="640" w:firstLineChars="200"/>
        <w:contextualSpacing/>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中央或地方财政通过超收收入和支出结余等安排的具有储备性质的基金，视预算平衡情况，在安排下年度预算时调入并使用，或用于弥补短收年份预算执行的收支缺口。预算稳定调节基金的安排使用接受同级人大及其常委会的监督</w:t>
      </w:r>
      <w:r>
        <w:rPr>
          <w:rFonts w:hint="eastAsia" w:ascii="仿宋_GB2312" w:hAnsi="仿宋_GB2312" w:eastAsia="仿宋_GB2312" w:cs="仿宋_GB2312"/>
          <w:color w:val="auto"/>
          <w:sz w:val="32"/>
          <w:szCs w:val="32"/>
        </w:rPr>
        <w:t>。</w:t>
      </w:r>
    </w:p>
    <w:p w14:paraId="34F1ECA9">
      <w:pPr>
        <w:keepNext w:val="0"/>
        <w:keepLines w:val="0"/>
        <w:pageBreakBefore w:val="0"/>
        <w:widowControl w:val="0"/>
        <w:kinsoku/>
        <w:wordWrap/>
        <w:overflowPunct/>
        <w:topLinePunct w:val="0"/>
        <w:bidi w:val="0"/>
        <w:adjustRightInd/>
        <w:snapToGrid/>
        <w:spacing w:line="572"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15.</w:t>
      </w:r>
      <w:r>
        <w:rPr>
          <w:rFonts w:hint="eastAsia" w:ascii="仿宋_GB2312" w:hAnsi="仿宋_GB2312" w:eastAsia="仿宋_GB2312" w:cs="仿宋_GB2312"/>
          <w:b/>
          <w:bCs/>
          <w:color w:val="auto"/>
          <w:sz w:val="32"/>
          <w:szCs w:val="32"/>
          <w:lang w:val="en-US" w:eastAsia="zh-CN"/>
        </w:rPr>
        <w:t>省直管县</w:t>
      </w:r>
      <w:r>
        <w:rPr>
          <w:rFonts w:hint="eastAsia" w:ascii="仿宋_GB2312" w:hAnsi="仿宋_GB2312" w:eastAsia="仿宋_GB2312" w:cs="仿宋_GB2312"/>
          <w:b/>
          <w:bCs/>
          <w:color w:val="auto"/>
          <w:sz w:val="32"/>
          <w:szCs w:val="32"/>
        </w:rPr>
        <w:t>财政体制改革的主要内容</w:t>
      </w:r>
    </w:p>
    <w:p w14:paraId="3D9AED02">
      <w:pPr>
        <w:keepNext w:val="0"/>
        <w:keepLines w:val="0"/>
        <w:pageBreakBefore w:val="0"/>
        <w:widowControl w:val="0"/>
        <w:kinsoku/>
        <w:wordWrap/>
        <w:overflowPunct/>
        <w:topLinePunct w:val="0"/>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自2022年起，财政直管县的范围由原有的24个扩大至全部102个县（市）。改革后，各县的财政体制由省财政直接核定，各类转移支付、债券资金由省财政直接下达。具体内容是：</w:t>
      </w:r>
    </w:p>
    <w:p w14:paraId="11DB5C92">
      <w:pPr>
        <w:keepNext w:val="0"/>
        <w:keepLines w:val="0"/>
        <w:pageBreakBefore w:val="0"/>
        <w:widowControl w:val="0"/>
        <w:numPr>
          <w:ilvl w:val="0"/>
          <w:numId w:val="5"/>
        </w:numPr>
        <w:kinsoku/>
        <w:wordWrap/>
        <w:overflowPunct/>
        <w:topLinePunct w:val="0"/>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财政收入除上划中央和省级部分外全部留归当地使用，原由市级分享的土地增值税、城镇土地使用税25%部分市级不再参与分享；县级范围内地方承担的共同财政事权支出责任，调整为省与县分担，市级不再分担。</w:t>
      </w:r>
    </w:p>
    <w:p w14:paraId="19611CCE">
      <w:pPr>
        <w:keepNext w:val="0"/>
        <w:keepLines w:val="0"/>
        <w:pageBreakBefore w:val="0"/>
        <w:widowControl w:val="0"/>
        <w:numPr>
          <w:ilvl w:val="0"/>
          <w:numId w:val="5"/>
        </w:numPr>
        <w:kinsoku/>
        <w:wordWrap/>
        <w:overflowPunct/>
        <w:topLinePunct w:val="0"/>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将省级固定税收收入及分成的环保税、水资源税全部下划到市县。原体制下按收入项目等实施的增量分成政策不再执行。改革后市县的增值税、企业所得税、个人所得税收入地方部分省级分成20%，市县其他税收省级分成15%，市县一般公共预算中的非税收入（不含地方教育附加、残疾人就业保障金、矿业权出让收益、防空地下室易地建设费、以及从土地出让收益中计提的教育资金和农田水利建设资金）省级分成15%。同时省级每年以我县2019年收入的同等比例补助我县，相当于分享我县一般公共预算收入比2019年增收部分的20%或15%。以上收入仍缴入县级金库，年终通过体制结算上解省级财政。</w:t>
      </w:r>
    </w:p>
    <w:p w14:paraId="0EDA1B06">
      <w:pPr>
        <w:keepNext w:val="0"/>
        <w:keepLines w:val="0"/>
        <w:pageBreakBefore w:val="0"/>
        <w:widowControl w:val="0"/>
        <w:numPr>
          <w:ilvl w:val="0"/>
          <w:numId w:val="5"/>
        </w:numPr>
        <w:kinsoku/>
        <w:wordWrap/>
        <w:overflowPunct/>
        <w:topLinePunct w:val="0"/>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对改革形成的财力转移，以2019年为基期，按“保既得利益”原则核定划转基数，划转基数由市、县协商一致并报省财政核定。</w:t>
      </w:r>
    </w:p>
    <w:p w14:paraId="1D45632A">
      <w:pPr>
        <w:keepNext w:val="0"/>
        <w:keepLines w:val="0"/>
        <w:pageBreakBefore w:val="0"/>
        <w:widowControl w:val="0"/>
        <w:numPr>
          <w:ilvl w:val="0"/>
          <w:numId w:val="5"/>
        </w:numPr>
        <w:kinsoku/>
        <w:wordWrap/>
        <w:overflowPunct/>
        <w:topLinePunct w:val="0"/>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现金管理体制随财政结算体制变化相应调整，省财政直接核定县（市）现金留用比例和上解比例，直接向县（市）调度现金，取消省辖市对县（市）核定的现金留用比例和上解比例。除有明确规定外，有关财政专户资金也直接拨付到县（市）。</w:t>
      </w:r>
    </w:p>
    <w:p w14:paraId="2E2AE2DA">
      <w:pPr>
        <w:keepNext w:val="0"/>
        <w:keepLines w:val="0"/>
        <w:pageBreakBefore w:val="0"/>
        <w:widowControl w:val="0"/>
        <w:numPr>
          <w:ilvl w:val="0"/>
          <w:numId w:val="5"/>
        </w:numPr>
        <w:kinsoku/>
        <w:wordWrap/>
        <w:overflowPunct/>
        <w:topLinePunct w:val="0"/>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省财政在单独或会同省直有关部门部署项目资金申报、布置财政收支管理等工作时，直接通知到县级。属于省委、省政府赋予县经济社会管理权限清单之内的事项，由县级直接上报省级。省财政安排转移支付、债券资金、下达指标和结算事项，直接下达到县级。</w:t>
      </w:r>
    </w:p>
    <w:p w14:paraId="516E9BC7">
      <w:pPr>
        <w:keepNext w:val="0"/>
        <w:keepLines w:val="0"/>
        <w:pageBreakBefore w:val="0"/>
        <w:widowControl w:val="0"/>
        <w:numPr>
          <w:ilvl w:val="0"/>
          <w:numId w:val="6"/>
        </w:numPr>
        <w:kinsoku/>
        <w:wordWrap/>
        <w:overflowPunct/>
        <w:topLinePunct w:val="0"/>
        <w:bidi w:val="0"/>
        <w:adjustRightInd/>
        <w:snapToGrid/>
        <w:spacing w:line="572" w:lineRule="exact"/>
        <w:ind w:left="640" w:leftChars="0" w:firstLine="0" w:firstLineChars="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新出台的留抵退税政策的主要内容</w:t>
      </w:r>
    </w:p>
    <w:p w14:paraId="730C3FE3">
      <w:pPr>
        <w:keepNext w:val="0"/>
        <w:keepLines w:val="0"/>
        <w:pageBreakBefore w:val="0"/>
        <w:widowControl w:val="0"/>
        <w:numPr>
          <w:ilvl w:val="0"/>
          <w:numId w:val="0"/>
        </w:numPr>
        <w:kinsoku/>
        <w:wordWrap/>
        <w:overflowPunct/>
        <w:topLinePunct w:val="0"/>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党中央、国务院关于加大增值税期末留抵退税（以下简称留抵退税）力度的决策部署，从2022年4月1日起，进一步加大留抵退税实施力度，将先进制造业按月全额退还增值税增量留抵税额政策范围扩大至符合条件的小微企业、制造业等行业企</w:t>
      </w:r>
      <w:r>
        <w:rPr>
          <w:rFonts w:hint="eastAsia" w:ascii="仿宋_GB2312" w:hAnsi="仿宋_GB2312" w:eastAsia="仿宋_GB2312" w:cs="仿宋_GB2312"/>
          <w:color w:val="auto"/>
          <w:spacing w:val="6"/>
          <w:sz w:val="32"/>
          <w:szCs w:val="32"/>
          <w:lang w:val="en-US" w:eastAsia="zh-CN"/>
        </w:rPr>
        <w:t>业（含个体工商户，下同），并一次性退还上述企业存量留抵税额。</w:t>
      </w:r>
    </w:p>
    <w:p w14:paraId="4D15D14D">
      <w:pPr>
        <w:keepNext w:val="0"/>
        <w:keepLines w:val="0"/>
        <w:pageBreakBefore w:val="0"/>
        <w:widowControl w:val="0"/>
        <w:numPr>
          <w:ilvl w:val="0"/>
          <w:numId w:val="6"/>
        </w:numPr>
        <w:kinsoku/>
        <w:wordWrap/>
        <w:overflowPunct/>
        <w:topLinePunct w:val="0"/>
        <w:bidi w:val="0"/>
        <w:adjustRightInd/>
        <w:snapToGrid/>
        <w:spacing w:line="572" w:lineRule="exact"/>
        <w:ind w:left="640" w:leftChars="0" w:firstLine="0" w:firstLineChars="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县乡财政体制改革的主要内容</w:t>
      </w:r>
    </w:p>
    <w:p w14:paraId="5980352D">
      <w:pPr>
        <w:keepNext w:val="0"/>
        <w:keepLines w:val="0"/>
        <w:pageBreakBefore w:val="0"/>
        <w:widowControl w:val="0"/>
        <w:numPr>
          <w:ilvl w:val="0"/>
          <w:numId w:val="0"/>
        </w:numPr>
        <w:kinsoku/>
        <w:wordWrap/>
        <w:overflowPunct/>
        <w:topLinePunct w:val="0"/>
        <w:bidi w:val="0"/>
        <w:adjustRightInd/>
        <w:snapToGrid/>
        <w:spacing w:line="572" w:lineRule="exact"/>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新的县乡财政管理体制紧紧围绕“财权事权匹配、收支范围清晰、财力平衡兼顾、调动乡镇积极性”的原则，从明晰县乡财政事权和支出责任、完善乡镇基本保障制度、做实乡镇税收收入、建立正向激励措施四个方面对原财政体制进行了调整完善，主要内容是：</w:t>
      </w:r>
    </w:p>
    <w:p w14:paraId="49A0EFA8">
      <w:pPr>
        <w:keepNext w:val="0"/>
        <w:keepLines w:val="0"/>
        <w:pageBreakBefore w:val="0"/>
        <w:widowControl w:val="0"/>
        <w:numPr>
          <w:ilvl w:val="0"/>
          <w:numId w:val="0"/>
        </w:numPr>
        <w:kinsoku/>
        <w:wordWrap/>
        <w:overflowPunct/>
        <w:topLinePunct w:val="0"/>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明确县乡收入范围。将县本级主导投资建设、且具备一定规模的平煤神马所属企业、发投公司等15家重点税源及县级以上重点行业和重点项目税收作为县本级固定税源，其余企业按属地管理作为乡镇税源。核定各乡镇税源清册，从源头上做实乡镇收入，避免收入混库、串库行为发生，把乡镇精力从协税护税转移到招商引资、培植财源、服务所属企业上来，激发乡镇发展经济的内在动力。</w:t>
      </w:r>
    </w:p>
    <w:p w14:paraId="2B47BFCB">
      <w:pPr>
        <w:keepNext w:val="0"/>
        <w:keepLines w:val="0"/>
        <w:pageBreakBefore w:val="0"/>
        <w:widowControl w:val="0"/>
        <w:numPr>
          <w:ilvl w:val="0"/>
          <w:numId w:val="0"/>
        </w:numPr>
        <w:kinsoku/>
        <w:wordWrap/>
        <w:overflowPunct/>
        <w:topLinePunct w:val="0"/>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明确县乡支出范围。明确村级经费和党建三项经费、土地收储工作经费及征地业务费、县级重点项目产生的地租和安置费等相关费用、县级委托乡镇实施的项目资金、县级安排调研观摩等活动产生的奖励资金、县直部门经县委常委会议、县长办公会议或县政府常务会议研究确定对乡镇安排的各项资金、其他应属县级财政事权和支出责任的项目资金作为县级支出，由县财政给予乡镇专项追加补助。县级支出范围之外的支出作为乡镇事权和支出责任，由乡镇从财政体制分成中统筹解决，县财政不再承担相关费用。</w:t>
      </w:r>
    </w:p>
    <w:p w14:paraId="41FA4079">
      <w:pPr>
        <w:keepNext w:val="0"/>
        <w:keepLines w:val="0"/>
        <w:pageBreakBefore w:val="0"/>
        <w:widowControl w:val="0"/>
        <w:numPr>
          <w:ilvl w:val="0"/>
          <w:numId w:val="0"/>
        </w:numPr>
        <w:kinsoku/>
        <w:wordWrap/>
        <w:overflowPunct/>
        <w:topLinePunct w:val="0"/>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明确支出基数核定办法。收入基数依据乡镇税源清册，以2022年实际收入情况结合县级当年一般公共预算收入增幅，合理分配收入任务；基本支出基数以2022年实际财供人员为准，以组织人事部门批复的工资为依据，加上应由财政负担的社保金，由县财政足额安排；经费支出基数根据乡镇总人口、行政村个数、财供人员数，综合考虑乡镇实际情况确定。</w:t>
      </w:r>
    </w:p>
    <w:p w14:paraId="1BA50565">
      <w:pPr>
        <w:keepNext w:val="0"/>
        <w:keepLines w:val="0"/>
        <w:pageBreakBefore w:val="0"/>
        <w:widowControl w:val="0"/>
        <w:numPr>
          <w:ilvl w:val="0"/>
          <w:numId w:val="0"/>
        </w:numPr>
        <w:kinsoku/>
        <w:wordWrap/>
        <w:overflowPunct/>
        <w:topLinePunct w:val="0"/>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明确超收分成办法。大幅增加乡镇超收分成比例，由原来的乡镇分成比例从25%至50%不等，提高到昆阳、九龙、盐都3个街道办事处及龚店镇实行超收县乡3：7分成，马庄乡超收全留，其余乡镇实行超收县乡2：8分成；乡（镇、街道）自主招商引资落户在本辖区内的企业，产生的税收划归乡（镇、街道），入驻本辖区外的企业税收实行“飞地”政策，入驻县开发区的，实行县乡3：7分成，入驻其他乡（镇、街道）的，由招商乡（镇、街道）和入驻乡（镇、街道）按5：5分成；将烟叶税分成比例统一提高到1：9分成；明确超收分成按季度兑现，年终统算，进一步调动乡镇组织收入的积极性。</w:t>
      </w:r>
    </w:p>
    <w:p w14:paraId="2A8346D5">
      <w:pPr>
        <w:keepNext w:val="0"/>
        <w:keepLines w:val="0"/>
        <w:pageBreakBefore w:val="0"/>
        <w:widowControl w:val="0"/>
        <w:numPr>
          <w:ilvl w:val="0"/>
          <w:numId w:val="6"/>
        </w:numPr>
        <w:kinsoku/>
        <w:wordWrap/>
        <w:overflowPunct/>
        <w:topLinePunct w:val="0"/>
        <w:bidi w:val="0"/>
        <w:adjustRightInd/>
        <w:snapToGrid/>
        <w:spacing w:line="572" w:lineRule="exact"/>
        <w:ind w:left="640" w:leftChars="0" w:firstLine="0" w:firstLineChars="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超长期特别国债</w:t>
      </w:r>
    </w:p>
    <w:p w14:paraId="0EE38E21">
      <w:pPr>
        <w:keepNext w:val="0"/>
        <w:keepLines w:val="0"/>
        <w:pageBreakBefore w:val="0"/>
        <w:widowControl w:val="0"/>
        <w:numPr>
          <w:ilvl w:val="0"/>
          <w:numId w:val="0"/>
        </w:numPr>
        <w:kinsoku/>
        <w:wordWrap/>
        <w:overflowPunct/>
        <w:topLinePunct w:val="0"/>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超长期特别国债是指期限超过10年的国债，通常为15年、20年、30年甚至50年。这类国债由政府发行，用于筹集长期资金，支持特定项目或应对重大经济挑战。超长期特别国债在我国已有多次发行历史。例如，1998年我国首次发行超长期特别国债以补充国有独资商业银行资本金；2007年发行特别国债用于筹集国家外汇投资公司资本金；2020年发行1万亿元抗疫特别国债以应对新冠疫情的冲击；2024年以来我国再次大规模发行超长期特别国债。</w:t>
      </w:r>
    </w:p>
    <w:p w14:paraId="5D3D52D9">
      <w:pPr>
        <w:keepNext w:val="0"/>
        <w:keepLines w:val="0"/>
        <w:pageBreakBefore w:val="0"/>
        <w:widowControl w:val="0"/>
        <w:numPr>
          <w:ilvl w:val="0"/>
          <w:numId w:val="6"/>
        </w:numPr>
        <w:kinsoku/>
        <w:wordWrap/>
        <w:overflowPunct/>
        <w:topLinePunct w:val="0"/>
        <w:bidi w:val="0"/>
        <w:adjustRightInd/>
        <w:snapToGrid/>
        <w:spacing w:line="572" w:lineRule="exact"/>
        <w:ind w:left="640" w:leftChars="0" w:firstLine="0" w:firstLineChars="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“两新”</w:t>
      </w:r>
    </w:p>
    <w:p w14:paraId="1230B35B">
      <w:pPr>
        <w:keepNext w:val="0"/>
        <w:keepLines w:val="0"/>
        <w:pageBreakBefore w:val="0"/>
        <w:widowControl w:val="0"/>
        <w:numPr>
          <w:ilvl w:val="0"/>
          <w:numId w:val="0"/>
        </w:numPr>
        <w:kinsoku/>
        <w:wordWrap/>
        <w:overflowPunct/>
        <w:topLinePunct w:val="0"/>
        <w:bidi w:val="0"/>
        <w:adjustRightInd/>
        <w:snapToGrid/>
        <w:spacing w:line="572" w:lineRule="exact"/>
        <w:ind w:left="0" w:lef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是指推动新一轮大规模设备更新和消费品以旧换新，这一政策旨在通过政策措施支持重点领域的更新换新，以提振消费和扩大内需，加快现代化产业体系建设，促进先进制造业和现代服务业的融合发展。</w:t>
      </w:r>
    </w:p>
    <w:p w14:paraId="3C0F7626">
      <w:pPr>
        <w:keepNext w:val="0"/>
        <w:keepLines w:val="0"/>
        <w:pageBreakBefore w:val="0"/>
        <w:widowControl w:val="0"/>
        <w:numPr>
          <w:ilvl w:val="0"/>
          <w:numId w:val="6"/>
        </w:numPr>
        <w:kinsoku/>
        <w:wordWrap/>
        <w:overflowPunct/>
        <w:topLinePunct w:val="0"/>
        <w:bidi w:val="0"/>
        <w:adjustRightInd/>
        <w:snapToGrid/>
        <w:spacing w:line="572" w:lineRule="exact"/>
        <w:ind w:left="640" w:leftChars="0" w:firstLine="0" w:firstLineChars="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基层“三保”</w:t>
      </w:r>
    </w:p>
    <w:p w14:paraId="25D69D69">
      <w:pPr>
        <w:keepNext w:val="0"/>
        <w:keepLines w:val="0"/>
        <w:pageBreakBefore w:val="0"/>
        <w:widowControl w:val="0"/>
        <w:numPr>
          <w:ilvl w:val="0"/>
          <w:numId w:val="0"/>
        </w:numPr>
        <w:kinsoku/>
        <w:wordWrap/>
        <w:overflowPunct/>
        <w:topLinePunct w:val="0"/>
        <w:bidi w:val="0"/>
        <w:adjustRightInd/>
        <w:snapToGrid/>
        <w:spacing w:line="572" w:lineRule="exact"/>
        <w:ind w:left="0" w:lef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是指县（市、区）保基本民生、保工资、保运转相关支出，关系到政府履职尽责和人民群众切身利益，是促进地区经济协调发展的基础，也是维护经济运行秩序和社会大局稳定的“压舱石”。</w:t>
      </w:r>
    </w:p>
    <w:p w14:paraId="45BC7794">
      <w:pPr>
        <w:keepNext w:val="0"/>
        <w:keepLines w:val="0"/>
        <w:pageBreakBefore w:val="0"/>
        <w:widowControl w:val="0"/>
        <w:numPr>
          <w:ilvl w:val="0"/>
          <w:numId w:val="6"/>
        </w:numPr>
        <w:kinsoku/>
        <w:wordWrap/>
        <w:overflowPunct/>
        <w:topLinePunct w:val="0"/>
        <w:bidi w:val="0"/>
        <w:adjustRightInd/>
        <w:snapToGrid/>
        <w:spacing w:line="572" w:lineRule="exact"/>
        <w:ind w:left="640" w:leftChars="0" w:firstLine="0" w:firstLineChars="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零基预算</w:t>
      </w:r>
    </w:p>
    <w:p w14:paraId="63BF9771">
      <w:pPr>
        <w:keepNext w:val="0"/>
        <w:keepLines w:val="0"/>
        <w:pageBreakBefore w:val="0"/>
        <w:widowControl w:val="0"/>
        <w:numPr>
          <w:ilvl w:val="0"/>
          <w:numId w:val="0"/>
        </w:numPr>
        <w:kinsoku/>
        <w:wordWrap/>
        <w:overflowPunct/>
        <w:topLinePunct w:val="0"/>
        <w:bidi w:val="0"/>
        <w:adjustRightInd/>
        <w:snapToGrid/>
        <w:spacing w:line="572" w:lineRule="exact"/>
        <w:ind w:left="0" w:lef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是指不考虑过去预算项目和收支水平，以零为基点编制的预算，具体指不受以往预算安排情况的影响，一切从实际需要出发，逐项审核预算年度内各项费用的内容及其开支标准，结合财力状况，在综合平衡的基础上编制预算的一种科学的现代预算编制办法。</w:t>
      </w:r>
    </w:p>
    <w:p w14:paraId="7D30FF4C">
      <w:pPr>
        <w:keepNext w:val="0"/>
        <w:keepLines w:val="0"/>
        <w:pageBreakBefore w:val="0"/>
        <w:widowControl w:val="0"/>
        <w:numPr>
          <w:ilvl w:val="0"/>
          <w:numId w:val="0"/>
        </w:numPr>
        <w:kinsoku/>
        <w:wordWrap/>
        <w:overflowPunct/>
        <w:topLinePunct w:val="0"/>
        <w:bidi w:val="0"/>
        <w:adjustRightInd/>
        <w:snapToGrid/>
        <w:spacing w:line="572" w:lineRule="exact"/>
        <w:ind w:left="0" w:leftChars="0" w:firstLine="643" w:firstLineChars="200"/>
        <w:jc w:val="both"/>
        <w:textAlignment w:val="auto"/>
        <w:outlineLvl w:val="9"/>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22.预算管理一体化</w:t>
      </w:r>
    </w:p>
    <w:p w14:paraId="30A8FC8A">
      <w:pPr>
        <w:keepNext w:val="0"/>
        <w:keepLines w:val="0"/>
        <w:pageBreakBefore w:val="0"/>
        <w:widowControl w:val="0"/>
        <w:numPr>
          <w:ilvl w:val="0"/>
          <w:numId w:val="0"/>
        </w:numPr>
        <w:kinsoku/>
        <w:wordWrap/>
        <w:overflowPunct/>
        <w:topLinePunct w:val="0"/>
        <w:bidi w:val="0"/>
        <w:adjustRightInd/>
        <w:snapToGrid/>
        <w:spacing w:line="572" w:lineRule="exact"/>
        <w:ind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财政部组织制定全国统一的预算管理业务规范和技术标准，将预算编制、预算执行、决算和财务报告等业务环节按一个整体进行整合规范，贯通各级财政预算管理。各地由省级财政部门统一按照业务规范和技术标准建设一体化系统，将市县级预算数据集中到省级财政，并与财政部联网对接，市县关联业务间、上下级财政间、财政与部门和单位间的工作协同和数据衔接，动态反映各级财政部门预算管理情况，并通过嵌入系统的控制规则规范预算管理和硬化预算约束。</w:t>
      </w:r>
    </w:p>
    <w:sectPr>
      <w:footerReference r:id="rId7" w:type="default"/>
      <w:footerReference r:id="rId8" w:type="even"/>
      <w:pgSz w:w="11906" w:h="16838"/>
      <w:pgMar w:top="2098" w:right="1531" w:bottom="1928" w:left="1531" w:header="851" w:footer="1417"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5B2DF34-CD14-4A13-9B6D-129610E0C1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34BCEBDB-B80F-4AD2-9215-78D1C7365ADD}"/>
  </w:font>
  <w:font w:name="方正小标宋简体">
    <w:panose1 w:val="02010601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3" w:fontKey="{3BFFB5C3-53F9-466E-A0FD-2DC5881D067D}"/>
  </w:font>
  <w:font w:name="仿宋">
    <w:panose1 w:val="02010609060101010101"/>
    <w:charset w:val="86"/>
    <w:family w:val="modern"/>
    <w:pitch w:val="default"/>
    <w:sig w:usb0="800002BF" w:usb1="38CF7CFA" w:usb2="00000016" w:usb3="00000000" w:csb0="00040001" w:csb1="00000000"/>
    <w:embedRegular r:id="rId4" w:fontKey="{B1A168E6-62FA-41BA-AFA3-4585E23D5219}"/>
  </w:font>
  <w:font w:name="WPSEMBED11">
    <w:panose1 w:val="02010601030101010101"/>
    <w:charset w:val="86"/>
    <w:family w:val="auto"/>
    <w:pitch w:val="default"/>
    <w:sig w:usb0="00000001" w:usb1="080E0000" w:usb2="00000000" w:usb3="00000000" w:csb0="00040000" w:csb1="00000000"/>
  </w:font>
  <w:font w:name="WPSEMBED10">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92439">
    <w:pPr>
      <w:pStyle w:val="13"/>
      <w:jc w:val="center"/>
      <w:rPr>
        <w:sz w:val="28"/>
      </w:rPr>
    </w:pPr>
    <w:r>
      <w:rPr>
        <w:sz w:val="28"/>
      </w:rPr>
      <mc:AlternateContent>
        <mc:Choice Requires="wps">
          <w:drawing>
            <wp:anchor distT="0" distB="0" distL="114300" distR="114300" simplePos="0" relativeHeight="251662336" behindDoc="0" locked="0" layoutInCell="1" allowOverlap="1">
              <wp:simplePos x="0" y="0"/>
              <wp:positionH relativeFrom="margin">
                <wp:posOffset>4916805</wp:posOffset>
              </wp:positionH>
              <wp:positionV relativeFrom="paragraph">
                <wp:posOffset>-76200</wp:posOffset>
              </wp:positionV>
              <wp:extent cx="1828800" cy="1828800"/>
              <wp:effectExtent l="0" t="0" r="0" b="0"/>
              <wp:wrapNone/>
              <wp:docPr id="5"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134F26">
                          <w:pPr>
                            <w:pStyle w:val="1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文本框 1035" o:spid="_x0000_s1026" o:spt="202" type="#_x0000_t202" style="position:absolute;left:0pt;margin-left:387.15pt;margin-top:-6pt;height:144pt;width:144pt;mso-position-horizontal-relative:margin;mso-wrap-style:none;z-index:251662336;mso-width-relative:page;mso-height-relative:page;" filled="f" stroked="f" coordsize="21600,21600" o:gfxdata="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nAm7/1wAAAAwBAAAPAAAAAAAAAAEAIAAAACIAAABkcnMv&#10;ZG93bnJldi54bWxQSwECFAAUAAAACACHTuJAdt2MXssBAACcAwAADgAAAAAAAAABACAAAAAmAQAA&#10;ZHJzL2Uyb0RvYy54bWxQSwUGAAAAAAYABgBZAQAAYwUAAAAA&#10;">
              <v:fill on="f" focussize="0,0"/>
              <v:stroke on="f"/>
              <v:imagedata o:title=""/>
              <o:lock v:ext="edit" aspectratio="f"/>
              <v:textbox inset="0mm,0mm,0mm,0mm" style="mso-fit-shape-to-text:t;">
                <w:txbxContent>
                  <w:p w14:paraId="19134F26">
                    <w:pPr>
                      <w:pStyle w:val="1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DF013">
    <w:pPr>
      <w:pStyle w:val="13"/>
    </w:pPr>
    <w:r>
      <w:rPr>
        <w:sz w:val="18"/>
      </w:rPr>
      <mc:AlternateContent>
        <mc:Choice Requires="wps">
          <w:drawing>
            <wp:anchor distT="0" distB="0" distL="114300" distR="114300" simplePos="0" relativeHeight="251663360" behindDoc="0" locked="0" layoutInCell="1" allowOverlap="1">
              <wp:simplePos x="0" y="0"/>
              <wp:positionH relativeFrom="margin">
                <wp:posOffset>278130</wp:posOffset>
              </wp:positionH>
              <wp:positionV relativeFrom="paragraph">
                <wp:posOffset>-171450</wp:posOffset>
              </wp:positionV>
              <wp:extent cx="1828800" cy="1828800"/>
              <wp:effectExtent l="0" t="0" r="0" b="0"/>
              <wp:wrapNone/>
              <wp:docPr id="6"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6FE0E4">
                          <w:pPr>
                            <w:pStyle w:val="1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文本框 1036" o:spid="_x0000_s1026" o:spt="202" type="#_x0000_t202" style="position:absolute;left:0pt;margin-left:21.9pt;margin-top:-13.5pt;height:144pt;width:144pt;mso-position-horizontal-relative:margin;mso-wrap-style:none;z-index:251663360;mso-width-relative:page;mso-height-relative:page;" filled="f" stroked="f" coordsize="21600,21600" o:gfxdata="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FElne1wAAAAoBAAAPAAAAAAAAAAEAIAAAACIAAABkcnMv&#10;ZG93bnJldi54bWxQSwECFAAUAAAACACHTuJAac1QXssBAACcAwAADgAAAAAAAAABACAAAAAmAQAA&#10;ZHJzL2Uyb0RvYy54bWxQSwUGAAAAAAYABgBZAQAAYwUAAAAA&#10;">
              <v:fill on="f" focussize="0,0"/>
              <v:stroke on="f"/>
              <v:imagedata o:title=""/>
              <o:lock v:ext="edit" aspectratio="f"/>
              <v:textbox inset="0mm,0mm,0mm,0mm" style="mso-fit-shape-to-text:t;">
                <w:txbxContent>
                  <w:p w14:paraId="156FE0E4">
                    <w:pPr>
                      <w:pStyle w:val="1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A1139">
    <w:pPr>
      <w:pStyle w:val="13"/>
      <w:jc w:val="center"/>
      <w:rPr>
        <w:sz w:val="28"/>
      </w:rPr>
    </w:pPr>
  </w:p>
  <w:p w14:paraId="468CCFD2">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E6E31">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B2953">
    <w:pPr>
      <w:pStyle w:val="13"/>
      <w:jc w:val="center"/>
      <w:rPr>
        <w:sz w:val="28"/>
      </w:rPr>
    </w:pPr>
    <w:r>
      <w:rPr>
        <w:sz w:val="28"/>
      </w:rPr>
      <mc:AlternateContent>
        <mc:Choice Requires="wps">
          <w:drawing>
            <wp:anchor distT="0" distB="0" distL="114300" distR="114300" simplePos="0" relativeHeight="251661312" behindDoc="0" locked="0" layoutInCell="1" allowOverlap="1">
              <wp:simplePos x="0" y="0"/>
              <wp:positionH relativeFrom="margin">
                <wp:posOffset>4832985</wp:posOffset>
              </wp:positionH>
              <wp:positionV relativeFrom="paragraph">
                <wp:posOffset>37465</wp:posOffset>
              </wp:positionV>
              <wp:extent cx="1828800" cy="1828800"/>
              <wp:effectExtent l="0" t="0" r="0" b="0"/>
              <wp:wrapNone/>
              <wp:docPr id="4"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C9282A">
                          <w:pPr>
                            <w:pStyle w:val="13"/>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24 -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left:380.55pt;margin-top:2.95pt;height:144pt;width:144pt;mso-position-horizontal-relative:margin;mso-wrap-style:none;z-index:251661312;mso-width-relative:page;mso-height-relative:page;" filled="f" stroked="f" coordsize="21600,21600" o:gfxdata="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Xp13N9YAAAAKAQAADwAAAAAAAAABACAAAAAiAAAAZHJzL2Rv&#10;d25yZXYueG1sUEsBAhQAFAAAAAgAh07iQLmBCZ7KAQAAnAMAAA4AAAAAAAAAAQAgAAAAJQEAAGRy&#10;cy9lMm9Eb2MueG1sUEsFBgAAAAAGAAYAWQEAAGEFAAAAAA==&#10;">
              <v:fill on="f" focussize="0,0"/>
              <v:stroke on="f"/>
              <v:imagedata o:title=""/>
              <o:lock v:ext="edit" aspectratio="f"/>
              <v:textbox inset="0mm,0mm,0mm,0mm" style="mso-fit-shape-to-text:t;">
                <w:txbxContent>
                  <w:p w14:paraId="5CC9282A">
                    <w:pPr>
                      <w:pStyle w:val="13"/>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24 -</w:t>
                    </w:r>
                    <w:r>
                      <w:rPr>
                        <w:rFonts w:hint="eastAsia" w:ascii="宋体" w:hAnsi="宋体" w:eastAsia="宋体" w:cs="宋体"/>
                        <w:sz w:val="28"/>
                        <w:szCs w:val="28"/>
                      </w:rPr>
                      <w:fldChar w:fldCharType="end"/>
                    </w:r>
                  </w:p>
                </w:txbxContent>
              </v:textbox>
            </v:shape>
          </w:pict>
        </mc:Fallback>
      </mc:AlternateContent>
    </w:r>
  </w:p>
  <w:p w14:paraId="4DAD20FC">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AFDB8">
    <w:pPr>
      <w:pStyle w:val="13"/>
    </w:pPr>
    <w:r>
      <w:rPr>
        <w:sz w:val="18"/>
      </w:rPr>
      <mc:AlternateContent>
        <mc:Choice Requires="wps">
          <w:drawing>
            <wp:anchor distT="0" distB="0" distL="114300" distR="114300" simplePos="0" relativeHeight="251660288" behindDoc="0" locked="0" layoutInCell="1" allowOverlap="1">
              <wp:simplePos x="0" y="0"/>
              <wp:positionH relativeFrom="margin">
                <wp:posOffset>306705</wp:posOffset>
              </wp:positionH>
              <wp:positionV relativeFrom="paragraph">
                <wp:posOffset>-196850</wp:posOffset>
              </wp:positionV>
              <wp:extent cx="1828800" cy="1828800"/>
              <wp:effectExtent l="0" t="0" r="0" b="0"/>
              <wp:wrapNone/>
              <wp:docPr id="3"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D841CC">
                          <w:pPr>
                            <w:pStyle w:val="1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- 34 -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left:24.15pt;margin-top:-15.5pt;height:144pt;width:144pt;mso-position-horizontal-relative:margin;mso-wrap-style:none;z-index:251660288;mso-width-relative:page;mso-height-relative:page;" filled="f" stroked="f" coordsize="21600,21600" o:gfxdata="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zWf4fXAAAACgEAAA8AAAAAAAAAAQAgAAAAIgAAAGRycy9k&#10;b3ducmV2LnhtbFBLAQIUABQAAAAIAIdO4kCRPBTEygEAAJwDAAAOAAAAAAAAAAEAIAAAACYBAABk&#10;cnMvZTJvRG9jLnhtbFBLBQYAAAAABgAGAFkBAABiBQAAAAA=&#10;">
              <v:fill on="f" focussize="0,0"/>
              <v:stroke on="f"/>
              <v:imagedata o:title=""/>
              <o:lock v:ext="edit" aspectratio="f"/>
              <v:textbox inset="0mm,0mm,0mm,0mm" style="mso-fit-shape-to-text:t;">
                <w:txbxContent>
                  <w:p w14:paraId="27D841CC">
                    <w:pPr>
                      <w:pStyle w:val="1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- 34 -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92D1C0"/>
    <w:multiLevelType w:val="singleLevel"/>
    <w:tmpl w:val="B992D1C0"/>
    <w:lvl w:ilvl="0" w:tentative="0">
      <w:start w:val="1"/>
      <w:numFmt w:val="decimal"/>
      <w:suff w:val="nothing"/>
      <w:lvlText w:val="（%1）"/>
      <w:lvlJc w:val="left"/>
    </w:lvl>
  </w:abstractNum>
  <w:abstractNum w:abstractNumId="1">
    <w:nsid w:val="C9A1ED0A"/>
    <w:multiLevelType w:val="singleLevel"/>
    <w:tmpl w:val="C9A1ED0A"/>
    <w:lvl w:ilvl="0" w:tentative="0">
      <w:start w:val="16"/>
      <w:numFmt w:val="decimal"/>
      <w:lvlText w:val="%1."/>
      <w:lvlJc w:val="left"/>
      <w:pPr>
        <w:tabs>
          <w:tab w:val="left" w:pos="312"/>
        </w:tabs>
        <w:ind w:left="640" w:leftChars="0" w:firstLine="0" w:firstLineChars="0"/>
      </w:pPr>
    </w:lvl>
  </w:abstractNum>
  <w:abstractNum w:abstractNumId="2">
    <w:nsid w:val="FA1AB61E"/>
    <w:multiLevelType w:val="singleLevel"/>
    <w:tmpl w:val="FA1AB61E"/>
    <w:lvl w:ilvl="0" w:tentative="0">
      <w:start w:val="6"/>
      <w:numFmt w:val="chineseCounting"/>
      <w:suff w:val="nothing"/>
      <w:lvlText w:val="%1、"/>
      <w:lvlJc w:val="left"/>
      <w:rPr>
        <w:rFonts w:hint="eastAsia"/>
      </w:rPr>
    </w:lvl>
  </w:abstractNum>
  <w:abstractNum w:abstractNumId="3">
    <w:nsid w:val="417B3ABE"/>
    <w:multiLevelType w:val="singleLevel"/>
    <w:tmpl w:val="417B3ABE"/>
    <w:lvl w:ilvl="0" w:tentative="0">
      <w:start w:val="1"/>
      <w:numFmt w:val="decimal"/>
      <w:lvlText w:val="%1."/>
      <w:lvlJc w:val="left"/>
      <w:pPr>
        <w:tabs>
          <w:tab w:val="left" w:pos="312"/>
        </w:tabs>
      </w:pPr>
    </w:lvl>
  </w:abstractNum>
  <w:abstractNum w:abstractNumId="4">
    <w:nsid w:val="5C8B5F1F"/>
    <w:multiLevelType w:val="singleLevel"/>
    <w:tmpl w:val="5C8B5F1F"/>
    <w:lvl w:ilvl="0" w:tentative="0">
      <w:start w:val="1"/>
      <w:numFmt w:val="decimal"/>
      <w:lvlText w:val="%1."/>
      <w:lvlJc w:val="left"/>
      <w:pPr>
        <w:tabs>
          <w:tab w:val="left" w:pos="312"/>
        </w:tabs>
        <w:ind w:left="-10"/>
      </w:pPr>
      <w:rPr>
        <w:rFonts w:hint="default"/>
        <w:color w:val="auto"/>
      </w:rPr>
    </w:lvl>
  </w:abstractNum>
  <w:abstractNum w:abstractNumId="5">
    <w:nsid w:val="7870E287"/>
    <w:multiLevelType w:val="singleLevel"/>
    <w:tmpl w:val="7870E287"/>
    <w:lvl w:ilvl="0" w:tentative="0">
      <w:start w:val="1"/>
      <w:numFmt w:val="decimal"/>
      <w:suff w:val="space"/>
      <w:lvlText w:val="%1."/>
      <w:lvlJc w:val="left"/>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xMmExMTQ3OTI4NThiYzQ5OGQwMGMxMjFkYTdmNWMifQ=="/>
  </w:docVars>
  <w:rsids>
    <w:rsidRoot w:val="00BE755F"/>
    <w:rsid w:val="000178C5"/>
    <w:rsid w:val="000376F6"/>
    <w:rsid w:val="00051051"/>
    <w:rsid w:val="00065786"/>
    <w:rsid w:val="000834F0"/>
    <w:rsid w:val="00083DF7"/>
    <w:rsid w:val="000B7F5E"/>
    <w:rsid w:val="000C7A27"/>
    <w:rsid w:val="000F5A10"/>
    <w:rsid w:val="00103149"/>
    <w:rsid w:val="001031BD"/>
    <w:rsid w:val="0010533B"/>
    <w:rsid w:val="00107BE7"/>
    <w:rsid w:val="00124142"/>
    <w:rsid w:val="00124B09"/>
    <w:rsid w:val="00131A2D"/>
    <w:rsid w:val="001444D9"/>
    <w:rsid w:val="00150EAD"/>
    <w:rsid w:val="00173094"/>
    <w:rsid w:val="00180F72"/>
    <w:rsid w:val="00186D62"/>
    <w:rsid w:val="001A2A2C"/>
    <w:rsid w:val="001C1371"/>
    <w:rsid w:val="001C3DA6"/>
    <w:rsid w:val="001C5E05"/>
    <w:rsid w:val="001D1189"/>
    <w:rsid w:val="001D6D81"/>
    <w:rsid w:val="001E638D"/>
    <w:rsid w:val="002003DB"/>
    <w:rsid w:val="00221BCB"/>
    <w:rsid w:val="00226E7E"/>
    <w:rsid w:val="002276E0"/>
    <w:rsid w:val="00266DBD"/>
    <w:rsid w:val="00272414"/>
    <w:rsid w:val="002A1E12"/>
    <w:rsid w:val="002B1E4F"/>
    <w:rsid w:val="002C40B0"/>
    <w:rsid w:val="002D2D8D"/>
    <w:rsid w:val="003129C5"/>
    <w:rsid w:val="00313A7C"/>
    <w:rsid w:val="00323577"/>
    <w:rsid w:val="003433E1"/>
    <w:rsid w:val="00352CCE"/>
    <w:rsid w:val="00353335"/>
    <w:rsid w:val="00356184"/>
    <w:rsid w:val="003625AA"/>
    <w:rsid w:val="003672F6"/>
    <w:rsid w:val="003705AF"/>
    <w:rsid w:val="00371BF0"/>
    <w:rsid w:val="00377EAC"/>
    <w:rsid w:val="003D3408"/>
    <w:rsid w:val="003D3A3B"/>
    <w:rsid w:val="003E003F"/>
    <w:rsid w:val="003E0769"/>
    <w:rsid w:val="003F3A52"/>
    <w:rsid w:val="003F56AE"/>
    <w:rsid w:val="00414FA1"/>
    <w:rsid w:val="004326E5"/>
    <w:rsid w:val="00434560"/>
    <w:rsid w:val="004350D4"/>
    <w:rsid w:val="004354DA"/>
    <w:rsid w:val="00435E61"/>
    <w:rsid w:val="00436A67"/>
    <w:rsid w:val="00453694"/>
    <w:rsid w:val="00456F66"/>
    <w:rsid w:val="00466DD4"/>
    <w:rsid w:val="00472705"/>
    <w:rsid w:val="004745E8"/>
    <w:rsid w:val="00474A1E"/>
    <w:rsid w:val="0047544D"/>
    <w:rsid w:val="0047756B"/>
    <w:rsid w:val="00483640"/>
    <w:rsid w:val="00484DCA"/>
    <w:rsid w:val="004D7E6C"/>
    <w:rsid w:val="004F1E69"/>
    <w:rsid w:val="004F5331"/>
    <w:rsid w:val="004F61FF"/>
    <w:rsid w:val="00504138"/>
    <w:rsid w:val="00511226"/>
    <w:rsid w:val="00516AD6"/>
    <w:rsid w:val="00522937"/>
    <w:rsid w:val="00524C91"/>
    <w:rsid w:val="00526100"/>
    <w:rsid w:val="00544BE7"/>
    <w:rsid w:val="00546EF0"/>
    <w:rsid w:val="005573E4"/>
    <w:rsid w:val="005635C0"/>
    <w:rsid w:val="00585981"/>
    <w:rsid w:val="005A3502"/>
    <w:rsid w:val="005A6275"/>
    <w:rsid w:val="005C4B98"/>
    <w:rsid w:val="005E0295"/>
    <w:rsid w:val="00604556"/>
    <w:rsid w:val="00604B1D"/>
    <w:rsid w:val="00605A2F"/>
    <w:rsid w:val="006301B7"/>
    <w:rsid w:val="00631FD5"/>
    <w:rsid w:val="00641419"/>
    <w:rsid w:val="00647DFD"/>
    <w:rsid w:val="00667A28"/>
    <w:rsid w:val="00671B44"/>
    <w:rsid w:val="006804DF"/>
    <w:rsid w:val="00692E48"/>
    <w:rsid w:val="00695030"/>
    <w:rsid w:val="006A5FF1"/>
    <w:rsid w:val="006B5CB6"/>
    <w:rsid w:val="006C674E"/>
    <w:rsid w:val="006D0FDC"/>
    <w:rsid w:val="006D468E"/>
    <w:rsid w:val="006E30A5"/>
    <w:rsid w:val="006E6ACF"/>
    <w:rsid w:val="006F4ADC"/>
    <w:rsid w:val="00705FA8"/>
    <w:rsid w:val="00716344"/>
    <w:rsid w:val="00716550"/>
    <w:rsid w:val="00716782"/>
    <w:rsid w:val="00721FFA"/>
    <w:rsid w:val="00751154"/>
    <w:rsid w:val="007568AF"/>
    <w:rsid w:val="00795627"/>
    <w:rsid w:val="007A79E3"/>
    <w:rsid w:val="007D069B"/>
    <w:rsid w:val="007E5694"/>
    <w:rsid w:val="007E74A7"/>
    <w:rsid w:val="00800AB7"/>
    <w:rsid w:val="00822411"/>
    <w:rsid w:val="00823FEF"/>
    <w:rsid w:val="00842670"/>
    <w:rsid w:val="00843FD8"/>
    <w:rsid w:val="00846547"/>
    <w:rsid w:val="00857249"/>
    <w:rsid w:val="0086032B"/>
    <w:rsid w:val="00862813"/>
    <w:rsid w:val="0087082F"/>
    <w:rsid w:val="0087335F"/>
    <w:rsid w:val="00876A81"/>
    <w:rsid w:val="00883B3E"/>
    <w:rsid w:val="00894C85"/>
    <w:rsid w:val="00895CBF"/>
    <w:rsid w:val="008B248E"/>
    <w:rsid w:val="008C318E"/>
    <w:rsid w:val="008C7C52"/>
    <w:rsid w:val="008D030B"/>
    <w:rsid w:val="008E3452"/>
    <w:rsid w:val="00904A8E"/>
    <w:rsid w:val="00904FBA"/>
    <w:rsid w:val="009217C3"/>
    <w:rsid w:val="009343D1"/>
    <w:rsid w:val="0094019C"/>
    <w:rsid w:val="0094361F"/>
    <w:rsid w:val="0096162B"/>
    <w:rsid w:val="00977805"/>
    <w:rsid w:val="00977CDE"/>
    <w:rsid w:val="00981687"/>
    <w:rsid w:val="00982FB7"/>
    <w:rsid w:val="0099447F"/>
    <w:rsid w:val="00997274"/>
    <w:rsid w:val="009A08F6"/>
    <w:rsid w:val="009A5D87"/>
    <w:rsid w:val="009C16A2"/>
    <w:rsid w:val="009C2812"/>
    <w:rsid w:val="009D7CD9"/>
    <w:rsid w:val="009E672A"/>
    <w:rsid w:val="009F5E96"/>
    <w:rsid w:val="00A06263"/>
    <w:rsid w:val="00A10FDC"/>
    <w:rsid w:val="00A12DAE"/>
    <w:rsid w:val="00A22FEC"/>
    <w:rsid w:val="00A23E15"/>
    <w:rsid w:val="00A24A0B"/>
    <w:rsid w:val="00A4631E"/>
    <w:rsid w:val="00A6528D"/>
    <w:rsid w:val="00A7488B"/>
    <w:rsid w:val="00A76F23"/>
    <w:rsid w:val="00A805AD"/>
    <w:rsid w:val="00A84B3C"/>
    <w:rsid w:val="00A9109A"/>
    <w:rsid w:val="00AA4B06"/>
    <w:rsid w:val="00AA71E1"/>
    <w:rsid w:val="00AB1936"/>
    <w:rsid w:val="00AB7118"/>
    <w:rsid w:val="00AC09AC"/>
    <w:rsid w:val="00AC154D"/>
    <w:rsid w:val="00AC5C4E"/>
    <w:rsid w:val="00AC6EEA"/>
    <w:rsid w:val="00AD34B3"/>
    <w:rsid w:val="00AD6E27"/>
    <w:rsid w:val="00AE1CB1"/>
    <w:rsid w:val="00AE7DBB"/>
    <w:rsid w:val="00AF1281"/>
    <w:rsid w:val="00AF1CF0"/>
    <w:rsid w:val="00AF60C7"/>
    <w:rsid w:val="00B06FD4"/>
    <w:rsid w:val="00B10F18"/>
    <w:rsid w:val="00B21C23"/>
    <w:rsid w:val="00B2417B"/>
    <w:rsid w:val="00B2514B"/>
    <w:rsid w:val="00B658D4"/>
    <w:rsid w:val="00B8398D"/>
    <w:rsid w:val="00B84727"/>
    <w:rsid w:val="00B91E9E"/>
    <w:rsid w:val="00BC7601"/>
    <w:rsid w:val="00BD059B"/>
    <w:rsid w:val="00BD0E2A"/>
    <w:rsid w:val="00BD553A"/>
    <w:rsid w:val="00BE755F"/>
    <w:rsid w:val="00C007CE"/>
    <w:rsid w:val="00C01ECC"/>
    <w:rsid w:val="00C23296"/>
    <w:rsid w:val="00C25A95"/>
    <w:rsid w:val="00C320ED"/>
    <w:rsid w:val="00C3650D"/>
    <w:rsid w:val="00C371E4"/>
    <w:rsid w:val="00C46C15"/>
    <w:rsid w:val="00C52C98"/>
    <w:rsid w:val="00C572E6"/>
    <w:rsid w:val="00C7050E"/>
    <w:rsid w:val="00C70948"/>
    <w:rsid w:val="00C869F9"/>
    <w:rsid w:val="00C87B0C"/>
    <w:rsid w:val="00C91554"/>
    <w:rsid w:val="00CA5188"/>
    <w:rsid w:val="00CC1B63"/>
    <w:rsid w:val="00CC1F05"/>
    <w:rsid w:val="00CC6567"/>
    <w:rsid w:val="00CE327A"/>
    <w:rsid w:val="00CE6B3B"/>
    <w:rsid w:val="00CF09A5"/>
    <w:rsid w:val="00D01F9B"/>
    <w:rsid w:val="00D10DD8"/>
    <w:rsid w:val="00D14036"/>
    <w:rsid w:val="00D253B9"/>
    <w:rsid w:val="00D313B0"/>
    <w:rsid w:val="00D34863"/>
    <w:rsid w:val="00D65272"/>
    <w:rsid w:val="00D77955"/>
    <w:rsid w:val="00D850B1"/>
    <w:rsid w:val="00D85372"/>
    <w:rsid w:val="00DA0D33"/>
    <w:rsid w:val="00DA5797"/>
    <w:rsid w:val="00DC3126"/>
    <w:rsid w:val="00DC36F9"/>
    <w:rsid w:val="00DD6059"/>
    <w:rsid w:val="00DE33C0"/>
    <w:rsid w:val="00DF0A7C"/>
    <w:rsid w:val="00DF57E8"/>
    <w:rsid w:val="00DF6F3D"/>
    <w:rsid w:val="00DF757B"/>
    <w:rsid w:val="00E0781A"/>
    <w:rsid w:val="00E243D8"/>
    <w:rsid w:val="00E423B5"/>
    <w:rsid w:val="00E42582"/>
    <w:rsid w:val="00E56A2A"/>
    <w:rsid w:val="00E71AD9"/>
    <w:rsid w:val="00E826BB"/>
    <w:rsid w:val="00EA09C3"/>
    <w:rsid w:val="00EA0FEE"/>
    <w:rsid w:val="00EA24E9"/>
    <w:rsid w:val="00EA6915"/>
    <w:rsid w:val="00EA78E2"/>
    <w:rsid w:val="00EB7467"/>
    <w:rsid w:val="00ED267A"/>
    <w:rsid w:val="00EF0A07"/>
    <w:rsid w:val="00F20B2A"/>
    <w:rsid w:val="00F2487F"/>
    <w:rsid w:val="00F32F96"/>
    <w:rsid w:val="00F5402F"/>
    <w:rsid w:val="00F56401"/>
    <w:rsid w:val="00F62461"/>
    <w:rsid w:val="00F73C27"/>
    <w:rsid w:val="00F848EB"/>
    <w:rsid w:val="00F87DCA"/>
    <w:rsid w:val="00F945F2"/>
    <w:rsid w:val="00F962CB"/>
    <w:rsid w:val="00FB6E77"/>
    <w:rsid w:val="00FC1DCE"/>
    <w:rsid w:val="00FD4526"/>
    <w:rsid w:val="00FD4C50"/>
    <w:rsid w:val="00FE2F62"/>
    <w:rsid w:val="00FF0FBE"/>
    <w:rsid w:val="00FF67C8"/>
    <w:rsid w:val="01461924"/>
    <w:rsid w:val="01503E45"/>
    <w:rsid w:val="015873C5"/>
    <w:rsid w:val="018A3879"/>
    <w:rsid w:val="01E27F2C"/>
    <w:rsid w:val="02065006"/>
    <w:rsid w:val="021C29C7"/>
    <w:rsid w:val="02895B83"/>
    <w:rsid w:val="02FA082F"/>
    <w:rsid w:val="03B714B6"/>
    <w:rsid w:val="03D53C58"/>
    <w:rsid w:val="041C0B83"/>
    <w:rsid w:val="042C4720"/>
    <w:rsid w:val="046759FD"/>
    <w:rsid w:val="04844854"/>
    <w:rsid w:val="048F7CF9"/>
    <w:rsid w:val="05066240"/>
    <w:rsid w:val="05173495"/>
    <w:rsid w:val="056E0165"/>
    <w:rsid w:val="057730B9"/>
    <w:rsid w:val="05B90B7D"/>
    <w:rsid w:val="05D435A4"/>
    <w:rsid w:val="06093D6C"/>
    <w:rsid w:val="063F489B"/>
    <w:rsid w:val="06501646"/>
    <w:rsid w:val="06636BD2"/>
    <w:rsid w:val="068C79F0"/>
    <w:rsid w:val="069808C0"/>
    <w:rsid w:val="06EA1C4B"/>
    <w:rsid w:val="077578D8"/>
    <w:rsid w:val="07EA6E77"/>
    <w:rsid w:val="07EC3F0B"/>
    <w:rsid w:val="07ED7D3F"/>
    <w:rsid w:val="085D4A17"/>
    <w:rsid w:val="08852948"/>
    <w:rsid w:val="08B1339A"/>
    <w:rsid w:val="093167F8"/>
    <w:rsid w:val="09976EA2"/>
    <w:rsid w:val="0A044BC3"/>
    <w:rsid w:val="0A261F09"/>
    <w:rsid w:val="0ABA0A6D"/>
    <w:rsid w:val="0AC8448C"/>
    <w:rsid w:val="0AE256C0"/>
    <w:rsid w:val="0AF00D84"/>
    <w:rsid w:val="0B5032E8"/>
    <w:rsid w:val="0B7B71BE"/>
    <w:rsid w:val="0B8E6F24"/>
    <w:rsid w:val="0B932A7E"/>
    <w:rsid w:val="0BAA3CCB"/>
    <w:rsid w:val="0BCF2858"/>
    <w:rsid w:val="0BF00A21"/>
    <w:rsid w:val="0C13591B"/>
    <w:rsid w:val="0CBB622C"/>
    <w:rsid w:val="0CC53CAC"/>
    <w:rsid w:val="0CDD1DBA"/>
    <w:rsid w:val="0CEA54BC"/>
    <w:rsid w:val="0D3974A1"/>
    <w:rsid w:val="0D4E1EA3"/>
    <w:rsid w:val="0D86080C"/>
    <w:rsid w:val="0DA25EF2"/>
    <w:rsid w:val="0DBD4AC2"/>
    <w:rsid w:val="0DC13B67"/>
    <w:rsid w:val="0DD72AE2"/>
    <w:rsid w:val="0E6F41E6"/>
    <w:rsid w:val="0E946E9F"/>
    <w:rsid w:val="0EA22E5F"/>
    <w:rsid w:val="0F440D34"/>
    <w:rsid w:val="0FD404A0"/>
    <w:rsid w:val="10263749"/>
    <w:rsid w:val="10282537"/>
    <w:rsid w:val="10335074"/>
    <w:rsid w:val="10415CD9"/>
    <w:rsid w:val="10E3669B"/>
    <w:rsid w:val="10E9124D"/>
    <w:rsid w:val="115455AE"/>
    <w:rsid w:val="11B42572"/>
    <w:rsid w:val="11C9597F"/>
    <w:rsid w:val="12062188"/>
    <w:rsid w:val="12F264FA"/>
    <w:rsid w:val="1317675E"/>
    <w:rsid w:val="13786201"/>
    <w:rsid w:val="138C43C4"/>
    <w:rsid w:val="13E640E2"/>
    <w:rsid w:val="1432048A"/>
    <w:rsid w:val="145851D8"/>
    <w:rsid w:val="147032C4"/>
    <w:rsid w:val="149F2FE4"/>
    <w:rsid w:val="14DD4DA8"/>
    <w:rsid w:val="14E7655D"/>
    <w:rsid w:val="152D5ED1"/>
    <w:rsid w:val="15843157"/>
    <w:rsid w:val="15B17733"/>
    <w:rsid w:val="15F766E6"/>
    <w:rsid w:val="162035BC"/>
    <w:rsid w:val="16393358"/>
    <w:rsid w:val="169F551D"/>
    <w:rsid w:val="16BF6BD5"/>
    <w:rsid w:val="17210388"/>
    <w:rsid w:val="17AD3E74"/>
    <w:rsid w:val="17CA481C"/>
    <w:rsid w:val="17DB4333"/>
    <w:rsid w:val="181761DA"/>
    <w:rsid w:val="18583BD5"/>
    <w:rsid w:val="18761C7A"/>
    <w:rsid w:val="187F2FB0"/>
    <w:rsid w:val="18A312F5"/>
    <w:rsid w:val="18DB0B35"/>
    <w:rsid w:val="19002914"/>
    <w:rsid w:val="1905117A"/>
    <w:rsid w:val="195645B9"/>
    <w:rsid w:val="19744A3F"/>
    <w:rsid w:val="198E7996"/>
    <w:rsid w:val="199742D9"/>
    <w:rsid w:val="19A40E7C"/>
    <w:rsid w:val="19A41754"/>
    <w:rsid w:val="19BA7EE4"/>
    <w:rsid w:val="19C37774"/>
    <w:rsid w:val="1ACF6B5C"/>
    <w:rsid w:val="1AD17A77"/>
    <w:rsid w:val="1AE422FE"/>
    <w:rsid w:val="1AEB63E3"/>
    <w:rsid w:val="1B4560C7"/>
    <w:rsid w:val="1BA955E3"/>
    <w:rsid w:val="1BE61676"/>
    <w:rsid w:val="1BF55F80"/>
    <w:rsid w:val="1BFB6048"/>
    <w:rsid w:val="1C112A19"/>
    <w:rsid w:val="1C200142"/>
    <w:rsid w:val="1C201283"/>
    <w:rsid w:val="1C6074FD"/>
    <w:rsid w:val="1CBE71D7"/>
    <w:rsid w:val="1CEB4B27"/>
    <w:rsid w:val="1CF2566D"/>
    <w:rsid w:val="1D4E321C"/>
    <w:rsid w:val="1DA41221"/>
    <w:rsid w:val="1E101163"/>
    <w:rsid w:val="1E1E4F79"/>
    <w:rsid w:val="1E2C2438"/>
    <w:rsid w:val="1E2C2FDF"/>
    <w:rsid w:val="1E591461"/>
    <w:rsid w:val="1E627640"/>
    <w:rsid w:val="1EA83AE7"/>
    <w:rsid w:val="1F181382"/>
    <w:rsid w:val="1F271230"/>
    <w:rsid w:val="1F385DE2"/>
    <w:rsid w:val="1F602A2A"/>
    <w:rsid w:val="1F7B0C6F"/>
    <w:rsid w:val="20233781"/>
    <w:rsid w:val="20453DBC"/>
    <w:rsid w:val="2073362B"/>
    <w:rsid w:val="20895274"/>
    <w:rsid w:val="20D66D3A"/>
    <w:rsid w:val="212D30B7"/>
    <w:rsid w:val="214815A8"/>
    <w:rsid w:val="21AA0E03"/>
    <w:rsid w:val="220902AC"/>
    <w:rsid w:val="221410F3"/>
    <w:rsid w:val="22280E3A"/>
    <w:rsid w:val="226B3A41"/>
    <w:rsid w:val="22BB6735"/>
    <w:rsid w:val="22F15777"/>
    <w:rsid w:val="235F6D01"/>
    <w:rsid w:val="237B489A"/>
    <w:rsid w:val="23965EDC"/>
    <w:rsid w:val="23A36E67"/>
    <w:rsid w:val="23C15534"/>
    <w:rsid w:val="23D51C28"/>
    <w:rsid w:val="24020C29"/>
    <w:rsid w:val="24041378"/>
    <w:rsid w:val="242515DF"/>
    <w:rsid w:val="248C70E1"/>
    <w:rsid w:val="24C126BD"/>
    <w:rsid w:val="255231DD"/>
    <w:rsid w:val="25804245"/>
    <w:rsid w:val="258B7398"/>
    <w:rsid w:val="25AA5A01"/>
    <w:rsid w:val="2640288A"/>
    <w:rsid w:val="267D10C1"/>
    <w:rsid w:val="26AD77E2"/>
    <w:rsid w:val="27000403"/>
    <w:rsid w:val="2752029D"/>
    <w:rsid w:val="278A4BDE"/>
    <w:rsid w:val="27A5194E"/>
    <w:rsid w:val="27C272BD"/>
    <w:rsid w:val="27CB1640"/>
    <w:rsid w:val="284B72B3"/>
    <w:rsid w:val="284D363D"/>
    <w:rsid w:val="287C66AB"/>
    <w:rsid w:val="28974C2F"/>
    <w:rsid w:val="28A075FF"/>
    <w:rsid w:val="28A16ED3"/>
    <w:rsid w:val="28C86A32"/>
    <w:rsid w:val="28FE663D"/>
    <w:rsid w:val="292B3EDD"/>
    <w:rsid w:val="29422464"/>
    <w:rsid w:val="295647E3"/>
    <w:rsid w:val="29B35110"/>
    <w:rsid w:val="29B6075C"/>
    <w:rsid w:val="29BF76D2"/>
    <w:rsid w:val="29C35E18"/>
    <w:rsid w:val="29CF0BEF"/>
    <w:rsid w:val="29D95C95"/>
    <w:rsid w:val="29DB6414"/>
    <w:rsid w:val="2A0441BB"/>
    <w:rsid w:val="2A62584A"/>
    <w:rsid w:val="2ABC6471"/>
    <w:rsid w:val="2AD70D68"/>
    <w:rsid w:val="2ADC2F43"/>
    <w:rsid w:val="2AE5543A"/>
    <w:rsid w:val="2AF87773"/>
    <w:rsid w:val="2B17347C"/>
    <w:rsid w:val="2B5F34F3"/>
    <w:rsid w:val="2B631DDB"/>
    <w:rsid w:val="2C1D30CB"/>
    <w:rsid w:val="2CA14D1E"/>
    <w:rsid w:val="2CA57561"/>
    <w:rsid w:val="2CA62D0A"/>
    <w:rsid w:val="2CBB6EA3"/>
    <w:rsid w:val="2CBC445F"/>
    <w:rsid w:val="2D25333D"/>
    <w:rsid w:val="2D6E0857"/>
    <w:rsid w:val="2D740A00"/>
    <w:rsid w:val="2D820600"/>
    <w:rsid w:val="2DB574AC"/>
    <w:rsid w:val="2E015966"/>
    <w:rsid w:val="2E6231F0"/>
    <w:rsid w:val="2E813A2E"/>
    <w:rsid w:val="2E8751A1"/>
    <w:rsid w:val="2EF03EB1"/>
    <w:rsid w:val="2F434220"/>
    <w:rsid w:val="2F526A68"/>
    <w:rsid w:val="2F907ABF"/>
    <w:rsid w:val="2F9E0B25"/>
    <w:rsid w:val="2FC260AC"/>
    <w:rsid w:val="307E2516"/>
    <w:rsid w:val="30AE2135"/>
    <w:rsid w:val="30AE4883"/>
    <w:rsid w:val="31991796"/>
    <w:rsid w:val="31CE2E2E"/>
    <w:rsid w:val="31DE7294"/>
    <w:rsid w:val="31FA6794"/>
    <w:rsid w:val="325F1003"/>
    <w:rsid w:val="326824ED"/>
    <w:rsid w:val="32BF5F44"/>
    <w:rsid w:val="32EF6F21"/>
    <w:rsid w:val="32F50493"/>
    <w:rsid w:val="331E78D1"/>
    <w:rsid w:val="332B2B0F"/>
    <w:rsid w:val="33504835"/>
    <w:rsid w:val="33541711"/>
    <w:rsid w:val="338A2042"/>
    <w:rsid w:val="33D07264"/>
    <w:rsid w:val="33D20888"/>
    <w:rsid w:val="351F7AFD"/>
    <w:rsid w:val="352A6A1D"/>
    <w:rsid w:val="352F37E7"/>
    <w:rsid w:val="360F1AFB"/>
    <w:rsid w:val="362B2CAB"/>
    <w:rsid w:val="37202D72"/>
    <w:rsid w:val="37900641"/>
    <w:rsid w:val="37F74A24"/>
    <w:rsid w:val="38116670"/>
    <w:rsid w:val="38180178"/>
    <w:rsid w:val="382571D4"/>
    <w:rsid w:val="382900D1"/>
    <w:rsid w:val="38733348"/>
    <w:rsid w:val="38850C10"/>
    <w:rsid w:val="38A33135"/>
    <w:rsid w:val="38F00C43"/>
    <w:rsid w:val="393A550E"/>
    <w:rsid w:val="394E59E5"/>
    <w:rsid w:val="39E5072A"/>
    <w:rsid w:val="3A206FF1"/>
    <w:rsid w:val="3A3B6B62"/>
    <w:rsid w:val="3AB66948"/>
    <w:rsid w:val="3C1934F8"/>
    <w:rsid w:val="3C4E4BA9"/>
    <w:rsid w:val="3C69155C"/>
    <w:rsid w:val="3CAF1767"/>
    <w:rsid w:val="3CB2624E"/>
    <w:rsid w:val="3D29758D"/>
    <w:rsid w:val="3D3C3DF6"/>
    <w:rsid w:val="3D3E0D3C"/>
    <w:rsid w:val="3D5B2CF0"/>
    <w:rsid w:val="3DB50455"/>
    <w:rsid w:val="3DBC05DF"/>
    <w:rsid w:val="3DE504E4"/>
    <w:rsid w:val="3E5F4CFA"/>
    <w:rsid w:val="3E672B11"/>
    <w:rsid w:val="3EC27B99"/>
    <w:rsid w:val="3EE31608"/>
    <w:rsid w:val="3F0F3142"/>
    <w:rsid w:val="3F1D32FF"/>
    <w:rsid w:val="3F1E49E1"/>
    <w:rsid w:val="3F391DA6"/>
    <w:rsid w:val="3F7B6278"/>
    <w:rsid w:val="3FD42DF2"/>
    <w:rsid w:val="3FD91B42"/>
    <w:rsid w:val="3FFB76FA"/>
    <w:rsid w:val="4001677D"/>
    <w:rsid w:val="4007707E"/>
    <w:rsid w:val="40941371"/>
    <w:rsid w:val="409E32EE"/>
    <w:rsid w:val="40D873A7"/>
    <w:rsid w:val="41421084"/>
    <w:rsid w:val="41B74DEC"/>
    <w:rsid w:val="41D269EF"/>
    <w:rsid w:val="41D34149"/>
    <w:rsid w:val="41E2438C"/>
    <w:rsid w:val="42022034"/>
    <w:rsid w:val="420D71AC"/>
    <w:rsid w:val="4224272E"/>
    <w:rsid w:val="426536F3"/>
    <w:rsid w:val="426C4C24"/>
    <w:rsid w:val="42A17DA3"/>
    <w:rsid w:val="431E02ED"/>
    <w:rsid w:val="433A6AFE"/>
    <w:rsid w:val="4387500B"/>
    <w:rsid w:val="43C0715A"/>
    <w:rsid w:val="43E32C77"/>
    <w:rsid w:val="43F17418"/>
    <w:rsid w:val="43FC70EF"/>
    <w:rsid w:val="440C0524"/>
    <w:rsid w:val="444C2128"/>
    <w:rsid w:val="44E262A7"/>
    <w:rsid w:val="46287842"/>
    <w:rsid w:val="467B090B"/>
    <w:rsid w:val="46B03750"/>
    <w:rsid w:val="46B46B8E"/>
    <w:rsid w:val="47213261"/>
    <w:rsid w:val="47564EF6"/>
    <w:rsid w:val="479152E5"/>
    <w:rsid w:val="47943423"/>
    <w:rsid w:val="47954AF8"/>
    <w:rsid w:val="48C74B0D"/>
    <w:rsid w:val="48D72771"/>
    <w:rsid w:val="48E01221"/>
    <w:rsid w:val="48E645ED"/>
    <w:rsid w:val="490A4786"/>
    <w:rsid w:val="49705A3A"/>
    <w:rsid w:val="49A1700A"/>
    <w:rsid w:val="4A2D5EED"/>
    <w:rsid w:val="4A4871AE"/>
    <w:rsid w:val="4AEA2282"/>
    <w:rsid w:val="4B317DE6"/>
    <w:rsid w:val="4B4B4017"/>
    <w:rsid w:val="4B6B4AC1"/>
    <w:rsid w:val="4BBC369E"/>
    <w:rsid w:val="4C20409E"/>
    <w:rsid w:val="4C575C76"/>
    <w:rsid w:val="4C7A342D"/>
    <w:rsid w:val="4CDC5734"/>
    <w:rsid w:val="4D115FA5"/>
    <w:rsid w:val="4D44414D"/>
    <w:rsid w:val="4D600677"/>
    <w:rsid w:val="4E1B063B"/>
    <w:rsid w:val="4E47536F"/>
    <w:rsid w:val="4EC862DE"/>
    <w:rsid w:val="4F057B17"/>
    <w:rsid w:val="4F10078B"/>
    <w:rsid w:val="4F18319B"/>
    <w:rsid w:val="4F2117B1"/>
    <w:rsid w:val="4FFE1A90"/>
    <w:rsid w:val="5047505E"/>
    <w:rsid w:val="504B134F"/>
    <w:rsid w:val="50FE637F"/>
    <w:rsid w:val="513D1C32"/>
    <w:rsid w:val="5157488F"/>
    <w:rsid w:val="519A0805"/>
    <w:rsid w:val="51E842FE"/>
    <w:rsid w:val="52AF6EF9"/>
    <w:rsid w:val="52BC3ADA"/>
    <w:rsid w:val="52D941BD"/>
    <w:rsid w:val="5362532D"/>
    <w:rsid w:val="5394115F"/>
    <w:rsid w:val="539B0E0D"/>
    <w:rsid w:val="53D8290B"/>
    <w:rsid w:val="54587510"/>
    <w:rsid w:val="546B1FBF"/>
    <w:rsid w:val="5563538C"/>
    <w:rsid w:val="558A4236"/>
    <w:rsid w:val="561631CE"/>
    <w:rsid w:val="567909DD"/>
    <w:rsid w:val="56811AE4"/>
    <w:rsid w:val="56953223"/>
    <w:rsid w:val="56F826DD"/>
    <w:rsid w:val="576708C7"/>
    <w:rsid w:val="57895015"/>
    <w:rsid w:val="5789732C"/>
    <w:rsid w:val="58085B9B"/>
    <w:rsid w:val="581819E9"/>
    <w:rsid w:val="588C5714"/>
    <w:rsid w:val="59615C72"/>
    <w:rsid w:val="5A733C39"/>
    <w:rsid w:val="5A7A4CD8"/>
    <w:rsid w:val="5A7B2721"/>
    <w:rsid w:val="5A976BE6"/>
    <w:rsid w:val="5AAD194C"/>
    <w:rsid w:val="5AB0015E"/>
    <w:rsid w:val="5ACF4D9E"/>
    <w:rsid w:val="5B035313"/>
    <w:rsid w:val="5B1573E9"/>
    <w:rsid w:val="5B4E4363"/>
    <w:rsid w:val="5B587F07"/>
    <w:rsid w:val="5B7A0AD3"/>
    <w:rsid w:val="5B8D0F09"/>
    <w:rsid w:val="5BF77C6D"/>
    <w:rsid w:val="5CF274BE"/>
    <w:rsid w:val="5D31488A"/>
    <w:rsid w:val="5D587190"/>
    <w:rsid w:val="5D5E5A9E"/>
    <w:rsid w:val="5DA22550"/>
    <w:rsid w:val="5DF712CB"/>
    <w:rsid w:val="5E7D3926"/>
    <w:rsid w:val="5E8A4646"/>
    <w:rsid w:val="5EA558DA"/>
    <w:rsid w:val="5EB557B5"/>
    <w:rsid w:val="5EEF6458"/>
    <w:rsid w:val="5F6702BD"/>
    <w:rsid w:val="5F68143E"/>
    <w:rsid w:val="5F696A52"/>
    <w:rsid w:val="5FF02617"/>
    <w:rsid w:val="60275CA7"/>
    <w:rsid w:val="603A02FA"/>
    <w:rsid w:val="60464805"/>
    <w:rsid w:val="60BC2C2C"/>
    <w:rsid w:val="60E40EC0"/>
    <w:rsid w:val="610B74ED"/>
    <w:rsid w:val="616B3D76"/>
    <w:rsid w:val="61905BDA"/>
    <w:rsid w:val="61F608EE"/>
    <w:rsid w:val="62292567"/>
    <w:rsid w:val="624A498D"/>
    <w:rsid w:val="62964B1D"/>
    <w:rsid w:val="629D2947"/>
    <w:rsid w:val="62A430DA"/>
    <w:rsid w:val="62B7354C"/>
    <w:rsid w:val="62C4653F"/>
    <w:rsid w:val="62FB30A8"/>
    <w:rsid w:val="634903F1"/>
    <w:rsid w:val="637E0C03"/>
    <w:rsid w:val="63935C90"/>
    <w:rsid w:val="63E87188"/>
    <w:rsid w:val="64020774"/>
    <w:rsid w:val="64857118"/>
    <w:rsid w:val="6492186F"/>
    <w:rsid w:val="64B928D3"/>
    <w:rsid w:val="64F067D8"/>
    <w:rsid w:val="65155553"/>
    <w:rsid w:val="651925F7"/>
    <w:rsid w:val="655D335E"/>
    <w:rsid w:val="656C5B97"/>
    <w:rsid w:val="65A14AC2"/>
    <w:rsid w:val="66257375"/>
    <w:rsid w:val="6641488D"/>
    <w:rsid w:val="665C3E5E"/>
    <w:rsid w:val="665F480A"/>
    <w:rsid w:val="66A248CF"/>
    <w:rsid w:val="66D97E60"/>
    <w:rsid w:val="67104781"/>
    <w:rsid w:val="676B67CF"/>
    <w:rsid w:val="67CA42A6"/>
    <w:rsid w:val="682409AB"/>
    <w:rsid w:val="6834572D"/>
    <w:rsid w:val="685A4DA8"/>
    <w:rsid w:val="68823C33"/>
    <w:rsid w:val="689E250C"/>
    <w:rsid w:val="69164798"/>
    <w:rsid w:val="69315D62"/>
    <w:rsid w:val="6933210C"/>
    <w:rsid w:val="694C640B"/>
    <w:rsid w:val="69A92438"/>
    <w:rsid w:val="6A1D3904"/>
    <w:rsid w:val="6A5C2D64"/>
    <w:rsid w:val="6A8A71EB"/>
    <w:rsid w:val="6A99742E"/>
    <w:rsid w:val="6AE85276"/>
    <w:rsid w:val="6B4355EC"/>
    <w:rsid w:val="6B87277E"/>
    <w:rsid w:val="6B940BBB"/>
    <w:rsid w:val="6BB206B5"/>
    <w:rsid w:val="6C57704A"/>
    <w:rsid w:val="6C645BF3"/>
    <w:rsid w:val="6C7657AC"/>
    <w:rsid w:val="6CB03829"/>
    <w:rsid w:val="6CB625DD"/>
    <w:rsid w:val="6CC94CE8"/>
    <w:rsid w:val="6CE63E7B"/>
    <w:rsid w:val="6CF50B68"/>
    <w:rsid w:val="6D1F5A2D"/>
    <w:rsid w:val="6D5D5570"/>
    <w:rsid w:val="6D6F091A"/>
    <w:rsid w:val="6DE76B6A"/>
    <w:rsid w:val="6DF655E0"/>
    <w:rsid w:val="6E155A08"/>
    <w:rsid w:val="6E1F0A0B"/>
    <w:rsid w:val="6F08375A"/>
    <w:rsid w:val="6F2D4E50"/>
    <w:rsid w:val="6F8A6BAA"/>
    <w:rsid w:val="6FBC4AB7"/>
    <w:rsid w:val="6FC41DF4"/>
    <w:rsid w:val="701B6F36"/>
    <w:rsid w:val="70765B1C"/>
    <w:rsid w:val="70B9465D"/>
    <w:rsid w:val="70BA4F57"/>
    <w:rsid w:val="70C50FD5"/>
    <w:rsid w:val="7128150C"/>
    <w:rsid w:val="71306BFB"/>
    <w:rsid w:val="71BC60F4"/>
    <w:rsid w:val="72051890"/>
    <w:rsid w:val="720720B3"/>
    <w:rsid w:val="723D62BF"/>
    <w:rsid w:val="727B38BE"/>
    <w:rsid w:val="727C5295"/>
    <w:rsid w:val="73840550"/>
    <w:rsid w:val="739F46B3"/>
    <w:rsid w:val="73C51D26"/>
    <w:rsid w:val="73DA7E90"/>
    <w:rsid w:val="73E01C2A"/>
    <w:rsid w:val="73E52EC1"/>
    <w:rsid w:val="740C7E56"/>
    <w:rsid w:val="74434CA1"/>
    <w:rsid w:val="74E05E61"/>
    <w:rsid w:val="75303A18"/>
    <w:rsid w:val="753F177D"/>
    <w:rsid w:val="75796A81"/>
    <w:rsid w:val="75D42404"/>
    <w:rsid w:val="76F61765"/>
    <w:rsid w:val="77004ACB"/>
    <w:rsid w:val="774176D8"/>
    <w:rsid w:val="77A23FC0"/>
    <w:rsid w:val="77BD35A2"/>
    <w:rsid w:val="77C16217"/>
    <w:rsid w:val="77C84869"/>
    <w:rsid w:val="783267CC"/>
    <w:rsid w:val="784B3465"/>
    <w:rsid w:val="7866291A"/>
    <w:rsid w:val="78916EBE"/>
    <w:rsid w:val="78955FA4"/>
    <w:rsid w:val="79094101"/>
    <w:rsid w:val="79DC10E6"/>
    <w:rsid w:val="79EA1A55"/>
    <w:rsid w:val="7A020BB7"/>
    <w:rsid w:val="7A4647B1"/>
    <w:rsid w:val="7A7601E0"/>
    <w:rsid w:val="7A7D4634"/>
    <w:rsid w:val="7ABA486A"/>
    <w:rsid w:val="7AC9779D"/>
    <w:rsid w:val="7ADF72B5"/>
    <w:rsid w:val="7AE364A4"/>
    <w:rsid w:val="7AF36E53"/>
    <w:rsid w:val="7B7207AD"/>
    <w:rsid w:val="7BAD2547"/>
    <w:rsid w:val="7C1D11E6"/>
    <w:rsid w:val="7C6363CD"/>
    <w:rsid w:val="7CB26E8E"/>
    <w:rsid w:val="7CB80EF9"/>
    <w:rsid w:val="7CC11C0F"/>
    <w:rsid w:val="7D1376D3"/>
    <w:rsid w:val="7D6A2F54"/>
    <w:rsid w:val="7DA57B21"/>
    <w:rsid w:val="7DC10D1E"/>
    <w:rsid w:val="7DD1053E"/>
    <w:rsid w:val="7DE6123C"/>
    <w:rsid w:val="7E0A0F65"/>
    <w:rsid w:val="7E3A5498"/>
    <w:rsid w:val="7EA936F6"/>
    <w:rsid w:val="7FB139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4"/>
    <w:unhideWhenUsed/>
    <w:qFormat/>
    <w:uiPriority w:val="0"/>
    <w:pPr>
      <w:keepNext/>
      <w:keepLines/>
      <w:spacing w:before="260" w:after="260" w:line="413" w:lineRule="auto"/>
      <w:outlineLvl w:val="1"/>
    </w:pPr>
    <w:rPr>
      <w:rFonts w:ascii="Arial" w:hAnsi="Arial" w:eastAsia="黑体"/>
      <w:b/>
      <w:sz w:val="32"/>
      <w:szCs w:val="24"/>
    </w:rPr>
  </w:style>
  <w:style w:type="paragraph" w:styleId="4">
    <w:name w:val="heading 3"/>
    <w:basedOn w:val="1"/>
    <w:next w:val="1"/>
    <w:link w:val="45"/>
    <w:unhideWhenUsed/>
    <w:qFormat/>
    <w:uiPriority w:val="0"/>
    <w:pPr>
      <w:keepNext/>
      <w:keepLines/>
      <w:spacing w:before="260" w:after="260" w:line="413" w:lineRule="auto"/>
      <w:outlineLvl w:val="2"/>
    </w:pPr>
    <w:rPr>
      <w:b/>
      <w:sz w:val="32"/>
      <w:szCs w:val="24"/>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semiHidden/>
    <w:qFormat/>
    <w:uiPriority w:val="0"/>
    <w:pPr>
      <w:ind w:left="2520" w:leftChars="1200"/>
    </w:pPr>
    <w:rPr>
      <w:rFonts w:ascii="Times New Roman" w:hAnsi="Times New Roman" w:eastAsia="宋体" w:cs="Times New Roman"/>
      <w:szCs w:val="24"/>
    </w:rPr>
  </w:style>
  <w:style w:type="paragraph" w:styleId="6">
    <w:name w:val="Document Map"/>
    <w:basedOn w:val="1"/>
    <w:link w:val="32"/>
    <w:qFormat/>
    <w:uiPriority w:val="0"/>
    <w:rPr>
      <w:rFonts w:ascii="宋体" w:eastAsia="宋体"/>
      <w:sz w:val="18"/>
      <w:szCs w:val="18"/>
    </w:rPr>
  </w:style>
  <w:style w:type="paragraph" w:styleId="7">
    <w:name w:val="annotation text"/>
    <w:basedOn w:val="1"/>
    <w:link w:val="30"/>
    <w:qFormat/>
    <w:uiPriority w:val="0"/>
    <w:pPr>
      <w:jc w:val="left"/>
    </w:pPr>
    <w:rPr>
      <w:rFonts w:eastAsia="宋体"/>
      <w:szCs w:val="24"/>
    </w:rPr>
  </w:style>
  <w:style w:type="paragraph" w:styleId="8">
    <w:name w:val="toc 5"/>
    <w:basedOn w:val="1"/>
    <w:next w:val="1"/>
    <w:semiHidden/>
    <w:qFormat/>
    <w:uiPriority w:val="0"/>
    <w:pPr>
      <w:ind w:left="1680" w:leftChars="800"/>
    </w:pPr>
    <w:rPr>
      <w:rFonts w:ascii="Times New Roman" w:hAnsi="Times New Roman" w:eastAsia="宋体" w:cs="Times New Roman"/>
      <w:szCs w:val="24"/>
    </w:rPr>
  </w:style>
  <w:style w:type="paragraph" w:styleId="9">
    <w:name w:val="toc 3"/>
    <w:basedOn w:val="1"/>
    <w:next w:val="1"/>
    <w:qFormat/>
    <w:uiPriority w:val="39"/>
    <w:pPr>
      <w:tabs>
        <w:tab w:val="right" w:leader="middleDot" w:pos="8720"/>
      </w:tabs>
      <w:spacing w:line="600" w:lineRule="exact"/>
      <w:ind w:left="210" w:leftChars="100"/>
    </w:pPr>
    <w:rPr>
      <w:rFonts w:ascii="Times New Roman" w:hAnsi="Times New Roman" w:eastAsia="宋体" w:cs="Times New Roman"/>
      <w:szCs w:val="24"/>
    </w:rPr>
  </w:style>
  <w:style w:type="paragraph" w:styleId="10">
    <w:name w:val="Plain Text"/>
    <w:basedOn w:val="1"/>
    <w:link w:val="43"/>
    <w:qFormat/>
    <w:uiPriority w:val="0"/>
    <w:rPr>
      <w:rFonts w:ascii="宋体" w:hAnsi="Courier New" w:eastAsia="宋体" w:cs="Courier New"/>
      <w:szCs w:val="21"/>
    </w:rPr>
  </w:style>
  <w:style w:type="paragraph" w:styleId="11">
    <w:name w:val="toc 8"/>
    <w:basedOn w:val="1"/>
    <w:next w:val="1"/>
    <w:semiHidden/>
    <w:qFormat/>
    <w:uiPriority w:val="0"/>
    <w:pPr>
      <w:ind w:left="2940" w:leftChars="1400"/>
    </w:pPr>
    <w:rPr>
      <w:rFonts w:ascii="Times New Roman" w:hAnsi="Times New Roman" w:eastAsia="宋体" w:cs="Times New Roman"/>
      <w:szCs w:val="24"/>
    </w:rPr>
  </w:style>
  <w:style w:type="paragraph" w:styleId="12">
    <w:name w:val="Balloon Text"/>
    <w:basedOn w:val="1"/>
    <w:link w:val="34"/>
    <w:qFormat/>
    <w:uiPriority w:val="0"/>
    <w:rPr>
      <w:rFonts w:eastAsia="宋体"/>
      <w:sz w:val="18"/>
      <w:szCs w:val="18"/>
    </w:rPr>
  </w:style>
  <w:style w:type="paragraph" w:styleId="13">
    <w:name w:val="footer"/>
    <w:basedOn w:val="1"/>
    <w:link w:val="28"/>
    <w:unhideWhenUsed/>
    <w:qFormat/>
    <w:uiPriority w:val="99"/>
    <w:pPr>
      <w:tabs>
        <w:tab w:val="center" w:pos="4153"/>
        <w:tab w:val="right" w:pos="8306"/>
      </w:tabs>
      <w:snapToGrid w:val="0"/>
      <w:jc w:val="left"/>
    </w:pPr>
    <w:rPr>
      <w:sz w:val="18"/>
      <w:szCs w:val="18"/>
    </w:rPr>
  </w:style>
  <w:style w:type="paragraph" w:styleId="14">
    <w:name w:val="header"/>
    <w:basedOn w:val="1"/>
    <w:link w:val="27"/>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rPr>
      <w:rFonts w:ascii="Times New Roman" w:hAnsi="Times New Roman" w:eastAsia="宋体" w:cs="Times New Roman"/>
      <w:szCs w:val="24"/>
    </w:rPr>
  </w:style>
  <w:style w:type="paragraph" w:styleId="16">
    <w:name w:val="toc 4"/>
    <w:basedOn w:val="1"/>
    <w:next w:val="1"/>
    <w:semiHidden/>
    <w:qFormat/>
    <w:uiPriority w:val="0"/>
    <w:pPr>
      <w:ind w:left="1260" w:leftChars="600"/>
    </w:pPr>
    <w:rPr>
      <w:rFonts w:ascii="Times New Roman" w:hAnsi="Times New Roman" w:eastAsia="宋体" w:cs="Times New Roman"/>
      <w:szCs w:val="24"/>
    </w:rPr>
  </w:style>
  <w:style w:type="paragraph" w:styleId="17">
    <w:name w:val="toc 6"/>
    <w:basedOn w:val="1"/>
    <w:next w:val="1"/>
    <w:semiHidden/>
    <w:qFormat/>
    <w:uiPriority w:val="0"/>
    <w:pPr>
      <w:ind w:left="2100" w:leftChars="1000"/>
    </w:pPr>
    <w:rPr>
      <w:rFonts w:ascii="Times New Roman" w:hAnsi="Times New Roman" w:eastAsia="宋体" w:cs="Times New Roman"/>
      <w:szCs w:val="24"/>
    </w:rPr>
  </w:style>
  <w:style w:type="paragraph" w:styleId="18">
    <w:name w:val="toc 2"/>
    <w:basedOn w:val="1"/>
    <w:next w:val="1"/>
    <w:qFormat/>
    <w:uiPriority w:val="39"/>
    <w:pPr>
      <w:tabs>
        <w:tab w:val="right" w:leader="middleDot" w:pos="8720"/>
      </w:tabs>
      <w:spacing w:line="600" w:lineRule="exact"/>
      <w:ind w:left="480" w:hanging="480" w:hangingChars="150"/>
    </w:pPr>
    <w:rPr>
      <w:rFonts w:ascii="Times New Roman" w:hAnsi="Times New Roman" w:eastAsia="宋体" w:cs="Times New Roman"/>
      <w:szCs w:val="24"/>
    </w:rPr>
  </w:style>
  <w:style w:type="paragraph" w:styleId="19">
    <w:name w:val="toc 9"/>
    <w:basedOn w:val="1"/>
    <w:next w:val="1"/>
    <w:semiHidden/>
    <w:qFormat/>
    <w:uiPriority w:val="0"/>
    <w:pPr>
      <w:ind w:left="3360" w:leftChars="1600"/>
    </w:pPr>
    <w:rPr>
      <w:rFonts w:ascii="Times New Roman" w:hAnsi="Times New Roman" w:eastAsia="宋体" w:cs="Times New Roman"/>
      <w:szCs w:val="24"/>
    </w:rPr>
  </w:style>
  <w:style w:type="character" w:styleId="22">
    <w:name w:val="page number"/>
    <w:basedOn w:val="21"/>
    <w:qFormat/>
    <w:uiPriority w:val="0"/>
    <w:rPr>
      <w:rFonts w:cs="Times New Roman"/>
    </w:rPr>
  </w:style>
  <w:style w:type="character" w:styleId="23">
    <w:name w:val="Hyperlink"/>
    <w:basedOn w:val="21"/>
    <w:qFormat/>
    <w:uiPriority w:val="99"/>
    <w:rPr>
      <w:color w:val="0000FF"/>
      <w:u w:val="single"/>
    </w:rPr>
  </w:style>
  <w:style w:type="character" w:styleId="24">
    <w:name w:val="annotation reference"/>
    <w:basedOn w:val="21"/>
    <w:qFormat/>
    <w:uiPriority w:val="0"/>
    <w:rPr>
      <w:rFonts w:cs="Times New Roman"/>
      <w:sz w:val="21"/>
      <w:szCs w:val="21"/>
    </w:rPr>
  </w:style>
  <w:style w:type="paragraph" w:customStyle="1" w:styleId="25">
    <w:name w:val="样式1"/>
    <w:basedOn w:val="3"/>
    <w:link w:val="49"/>
    <w:qFormat/>
    <w:uiPriority w:val="0"/>
    <w:pPr>
      <w:jc w:val="center"/>
    </w:pPr>
    <w:rPr>
      <w:rFonts w:ascii="方正小标宋简体" w:hAnsi="宋体" w:eastAsia="方正小标宋简体" w:cs="宋体"/>
      <w:b w:val="0"/>
      <w:kern w:val="0"/>
      <w:sz w:val="40"/>
      <w:szCs w:val="40"/>
    </w:rPr>
  </w:style>
  <w:style w:type="paragraph" w:styleId="26">
    <w:name w:val="List Paragraph"/>
    <w:basedOn w:val="1"/>
    <w:qFormat/>
    <w:uiPriority w:val="99"/>
    <w:pPr>
      <w:ind w:firstLine="420" w:firstLineChars="200"/>
    </w:pPr>
  </w:style>
  <w:style w:type="character" w:customStyle="1" w:styleId="27">
    <w:name w:val="页眉 Char"/>
    <w:basedOn w:val="21"/>
    <w:link w:val="14"/>
    <w:semiHidden/>
    <w:qFormat/>
    <w:uiPriority w:val="0"/>
    <w:rPr>
      <w:sz w:val="18"/>
      <w:szCs w:val="18"/>
    </w:rPr>
  </w:style>
  <w:style w:type="character" w:customStyle="1" w:styleId="28">
    <w:name w:val="页脚 Char"/>
    <w:basedOn w:val="21"/>
    <w:link w:val="13"/>
    <w:qFormat/>
    <w:uiPriority w:val="99"/>
    <w:rPr>
      <w:sz w:val="18"/>
      <w:szCs w:val="18"/>
    </w:rPr>
  </w:style>
  <w:style w:type="character" w:customStyle="1" w:styleId="29">
    <w:name w:val="批注文字 Char"/>
    <w:basedOn w:val="21"/>
    <w:link w:val="7"/>
    <w:qFormat/>
    <w:locked/>
    <w:uiPriority w:val="0"/>
    <w:rPr>
      <w:rFonts w:eastAsia="宋体"/>
      <w:szCs w:val="24"/>
    </w:rPr>
  </w:style>
  <w:style w:type="character" w:customStyle="1" w:styleId="30">
    <w:name w:val="批注文字 Char1"/>
    <w:basedOn w:val="21"/>
    <w:link w:val="7"/>
    <w:semiHidden/>
    <w:qFormat/>
    <w:uiPriority w:val="99"/>
  </w:style>
  <w:style w:type="character" w:customStyle="1" w:styleId="31">
    <w:name w:val="文档结构图 Char"/>
    <w:basedOn w:val="21"/>
    <w:link w:val="6"/>
    <w:qFormat/>
    <w:locked/>
    <w:uiPriority w:val="0"/>
    <w:rPr>
      <w:rFonts w:ascii="宋体" w:eastAsia="宋体"/>
      <w:sz w:val="18"/>
      <w:szCs w:val="18"/>
    </w:rPr>
  </w:style>
  <w:style w:type="character" w:customStyle="1" w:styleId="32">
    <w:name w:val="文档结构图 Char1"/>
    <w:basedOn w:val="21"/>
    <w:link w:val="6"/>
    <w:semiHidden/>
    <w:qFormat/>
    <w:uiPriority w:val="99"/>
    <w:rPr>
      <w:rFonts w:ascii="宋体" w:eastAsia="宋体"/>
      <w:sz w:val="18"/>
      <w:szCs w:val="18"/>
    </w:rPr>
  </w:style>
  <w:style w:type="character" w:customStyle="1" w:styleId="33">
    <w:name w:val="批注框文本 Char"/>
    <w:basedOn w:val="21"/>
    <w:link w:val="12"/>
    <w:qFormat/>
    <w:locked/>
    <w:uiPriority w:val="0"/>
    <w:rPr>
      <w:rFonts w:eastAsia="宋体"/>
      <w:sz w:val="18"/>
      <w:szCs w:val="18"/>
    </w:rPr>
  </w:style>
  <w:style w:type="character" w:customStyle="1" w:styleId="34">
    <w:name w:val="批注框文本 Char1"/>
    <w:basedOn w:val="21"/>
    <w:link w:val="12"/>
    <w:semiHidden/>
    <w:qFormat/>
    <w:uiPriority w:val="99"/>
    <w:rPr>
      <w:sz w:val="18"/>
      <w:szCs w:val="18"/>
    </w:rPr>
  </w:style>
  <w:style w:type="paragraph" w:customStyle="1" w:styleId="35">
    <w:name w:val="Char Char3 Char Char Char Char"/>
    <w:basedOn w:val="1"/>
    <w:qFormat/>
    <w:uiPriority w:val="0"/>
    <w:rPr>
      <w:rFonts w:ascii="Times New Roman" w:hAnsi="Times New Roman" w:eastAsia="宋体" w:cs="Times New Roman"/>
      <w:szCs w:val="21"/>
    </w:rPr>
  </w:style>
  <w:style w:type="paragraph" w:customStyle="1" w:styleId="36">
    <w:name w:val="默认段落字体 Para Char Char Char Char"/>
    <w:basedOn w:val="1"/>
    <w:qFormat/>
    <w:uiPriority w:val="0"/>
    <w:rPr>
      <w:rFonts w:ascii="Times New Roman" w:hAnsi="Times New Roman" w:eastAsia="宋体" w:cs="Times New Roman"/>
      <w:sz w:val="32"/>
      <w:szCs w:val="32"/>
    </w:rPr>
  </w:style>
  <w:style w:type="paragraph" w:customStyle="1" w:styleId="37">
    <w:name w:val="Char Char Char Char Char Char Char"/>
    <w:basedOn w:val="1"/>
    <w:qFormat/>
    <w:uiPriority w:val="0"/>
    <w:rPr>
      <w:rFonts w:ascii="Times New Roman" w:hAnsi="Times New Roman" w:eastAsia="宋体" w:cs="Times New Roman"/>
      <w:szCs w:val="21"/>
    </w:rPr>
  </w:style>
  <w:style w:type="character" w:customStyle="1" w:styleId="38">
    <w:name w:val="Char Char1"/>
    <w:basedOn w:val="21"/>
    <w:semiHidden/>
    <w:qFormat/>
    <w:locked/>
    <w:uiPriority w:val="0"/>
    <w:rPr>
      <w:sz w:val="18"/>
      <w:szCs w:val="18"/>
    </w:rPr>
  </w:style>
  <w:style w:type="character" w:customStyle="1" w:styleId="39">
    <w:name w:val="Char Char"/>
    <w:basedOn w:val="21"/>
    <w:semiHidden/>
    <w:qFormat/>
    <w:locked/>
    <w:uiPriority w:val="0"/>
    <w:rPr>
      <w:sz w:val="18"/>
      <w:szCs w:val="18"/>
    </w:rPr>
  </w:style>
  <w:style w:type="paragraph" w:customStyle="1" w:styleId="40">
    <w:name w:val="List Paragraph1"/>
    <w:basedOn w:val="1"/>
    <w:qFormat/>
    <w:uiPriority w:val="0"/>
    <w:pPr>
      <w:ind w:firstLine="420" w:firstLineChars="200"/>
    </w:pPr>
    <w:rPr>
      <w:rFonts w:ascii="Calibri" w:hAnsi="Calibri" w:eastAsia="宋体" w:cs="Times New Roman"/>
    </w:rPr>
  </w:style>
  <w:style w:type="character" w:customStyle="1" w:styleId="41">
    <w:name w:val="Char Char3"/>
    <w:basedOn w:val="21"/>
    <w:semiHidden/>
    <w:qFormat/>
    <w:locked/>
    <w:uiPriority w:val="0"/>
    <w:rPr>
      <w:rFonts w:eastAsia="宋体"/>
      <w:kern w:val="2"/>
      <w:sz w:val="18"/>
      <w:szCs w:val="18"/>
      <w:lang w:val="en-US" w:eastAsia="zh-CN" w:bidi="ar-SA"/>
    </w:rPr>
  </w:style>
  <w:style w:type="character" w:customStyle="1" w:styleId="42">
    <w:name w:val="Char Char4"/>
    <w:basedOn w:val="21"/>
    <w:semiHidden/>
    <w:qFormat/>
    <w:locked/>
    <w:uiPriority w:val="0"/>
    <w:rPr>
      <w:rFonts w:eastAsia="宋体"/>
      <w:kern w:val="2"/>
      <w:sz w:val="18"/>
      <w:szCs w:val="18"/>
      <w:lang w:val="en-US" w:eastAsia="zh-CN" w:bidi="ar-SA"/>
    </w:rPr>
  </w:style>
  <w:style w:type="character" w:customStyle="1" w:styleId="43">
    <w:name w:val="纯文本 Char"/>
    <w:basedOn w:val="21"/>
    <w:link w:val="10"/>
    <w:qFormat/>
    <w:uiPriority w:val="0"/>
    <w:rPr>
      <w:rFonts w:ascii="宋体" w:hAnsi="Courier New" w:eastAsia="宋体" w:cs="Courier New"/>
      <w:szCs w:val="21"/>
    </w:rPr>
  </w:style>
  <w:style w:type="character" w:customStyle="1" w:styleId="44">
    <w:name w:val="标题 2 Char"/>
    <w:basedOn w:val="21"/>
    <w:link w:val="3"/>
    <w:qFormat/>
    <w:uiPriority w:val="0"/>
    <w:rPr>
      <w:rFonts w:ascii="Arial" w:hAnsi="Arial" w:eastAsia="黑体"/>
      <w:b/>
      <w:sz w:val="32"/>
      <w:szCs w:val="24"/>
    </w:rPr>
  </w:style>
  <w:style w:type="character" w:customStyle="1" w:styleId="45">
    <w:name w:val="标题 3 Char"/>
    <w:basedOn w:val="21"/>
    <w:link w:val="4"/>
    <w:qFormat/>
    <w:uiPriority w:val="0"/>
    <w:rPr>
      <w:b/>
      <w:sz w:val="32"/>
      <w:szCs w:val="24"/>
    </w:rPr>
  </w:style>
  <w:style w:type="character" w:customStyle="1" w:styleId="46">
    <w:name w:val="标题 1 Char"/>
    <w:basedOn w:val="21"/>
    <w:link w:val="2"/>
    <w:qFormat/>
    <w:uiPriority w:val="9"/>
    <w:rPr>
      <w:b/>
      <w:bCs/>
      <w:kern w:val="44"/>
      <w:sz w:val="44"/>
      <w:szCs w:val="44"/>
    </w:rPr>
  </w:style>
  <w:style w:type="paragraph" w:customStyle="1" w:styleId="4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F5496" w:themeColor="accent1" w:themeShade="BF"/>
      <w:kern w:val="0"/>
      <w:sz w:val="28"/>
      <w:szCs w:val="28"/>
    </w:rPr>
  </w:style>
  <w:style w:type="paragraph" w:customStyle="1" w:styleId="48">
    <w:name w:val="目录2级"/>
    <w:basedOn w:val="25"/>
    <w:link w:val="50"/>
    <w:qFormat/>
    <w:uiPriority w:val="0"/>
    <w:pPr>
      <w:spacing w:line="560" w:lineRule="exact"/>
    </w:pPr>
  </w:style>
  <w:style w:type="character" w:customStyle="1" w:styleId="49">
    <w:name w:val="样式1 Char"/>
    <w:basedOn w:val="44"/>
    <w:link w:val="25"/>
    <w:qFormat/>
    <w:uiPriority w:val="0"/>
    <w:rPr>
      <w:rFonts w:ascii="方正小标宋简体" w:hAnsi="宋体" w:eastAsia="方正小标宋简体" w:cs="宋体"/>
      <w:kern w:val="0"/>
      <w:sz w:val="40"/>
      <w:szCs w:val="40"/>
    </w:rPr>
  </w:style>
  <w:style w:type="character" w:customStyle="1" w:styleId="50">
    <w:name w:val="目录2级 Char"/>
    <w:basedOn w:val="49"/>
    <w:link w:val="48"/>
    <w:qFormat/>
    <w:uiPriority w:val="0"/>
  </w:style>
  <w:style w:type="character" w:customStyle="1" w:styleId="51">
    <w:name w:val="font01"/>
    <w:basedOn w:val="21"/>
    <w:qFormat/>
    <w:uiPriority w:val="0"/>
    <w:rPr>
      <w:rFonts w:hint="eastAsia" w:ascii="方正小标宋简体" w:hAnsi="方正小标宋简体" w:eastAsia="方正小标宋简体" w:cs="方正小标宋简体"/>
      <w:color w:val="000000"/>
      <w:sz w:val="40"/>
      <w:szCs w:val="40"/>
      <w:u w:val="none"/>
    </w:rPr>
  </w:style>
  <w:style w:type="character" w:customStyle="1" w:styleId="52">
    <w:name w:val="font31"/>
    <w:basedOn w:val="21"/>
    <w:qFormat/>
    <w:uiPriority w:val="0"/>
    <w:rPr>
      <w:rFonts w:hint="eastAsia" w:ascii="宋体" w:hAnsi="宋体" w:eastAsia="宋体" w:cs="宋体"/>
      <w:b/>
      <w:bCs/>
      <w:color w:val="000000"/>
      <w:sz w:val="22"/>
      <w:szCs w:val="22"/>
      <w:u w:val="none"/>
    </w:rPr>
  </w:style>
  <w:style w:type="character" w:customStyle="1" w:styleId="53">
    <w:name w:val="font21"/>
    <w:basedOn w:val="21"/>
    <w:qFormat/>
    <w:uiPriority w:val="0"/>
    <w:rPr>
      <w:rFonts w:hint="eastAsia" w:ascii="宋体" w:hAnsi="宋体" w:eastAsia="宋体" w:cs="宋体"/>
      <w:color w:val="000000"/>
      <w:sz w:val="24"/>
      <w:szCs w:val="24"/>
      <w:u w:val="none"/>
    </w:rPr>
  </w:style>
  <w:style w:type="character" w:customStyle="1" w:styleId="54">
    <w:name w:val="font11"/>
    <w:basedOn w:val="2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e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D4A66A-72F7-4C87-96BB-BF2B988A03BB}">
  <ds:schemaRefs/>
</ds:datastoreItem>
</file>

<file path=docProps/app.xml><?xml version="1.0" encoding="utf-8"?>
<Properties xmlns="http://schemas.openxmlformats.org/officeDocument/2006/extended-properties" xmlns:vt="http://schemas.openxmlformats.org/officeDocument/2006/docPropsVTypes">
  <Template>Normal.dotm</Template>
  <Pages>44</Pages>
  <Words>7773</Words>
  <Characters>10431</Characters>
  <Lines>135</Lines>
  <Paragraphs>38</Paragraphs>
  <TotalTime>13</TotalTime>
  <ScaleCrop>false</ScaleCrop>
  <LinksUpToDate>false</LinksUpToDate>
  <CharactersWithSpaces>11189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2022-04-07T02:55:00Z</dcterms:created>
  <dc:creator>liu</dc:creator>
  <cp:lastModifiedBy>Administrator</cp:lastModifiedBy>
  <cp:lastPrinted>2026-03-08T05:45:00Z</cp:lastPrinted>
  <dcterms:modified xsi:type="dcterms:W3CDTF">2026-05-26T09:13:56Z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commondata">
    <vt:lpwstr>eyJoZGlkIjoiOTNjMzUyY2UyZjNlM2ZhOWU0YjZiMWU4MTA3YTcxMGQifQ==</vt:lpwstr>
  </property>
  <property fmtid="{D5CDD505-2E9C-101B-9397-08002B2CF9AE}" pid="4" name="ICV">
    <vt:lpwstr>7C42BDCD8F3247CD855E8581C6B0EB24_13</vt:lpwstr>
  </property>
</Properties>
</file>