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BDD8E3">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lang w:val="en-US" w:eastAsia="zh-CN"/>
        </w:rPr>
      </w:pPr>
    </w:p>
    <w:p w14:paraId="3BB351DF">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rPr>
      </w:pPr>
    </w:p>
    <w:p w14:paraId="2712A3DE">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rPr>
      </w:pPr>
    </w:p>
    <w:p w14:paraId="629150A4">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rPr>
      </w:pPr>
    </w:p>
    <w:p w14:paraId="42696764">
      <w:pPr>
        <w:pStyle w:val="3"/>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rPr>
      </w:pPr>
    </w:p>
    <w:p w14:paraId="4BB44A4F">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Cs/>
          <w:sz w:val="44"/>
          <w:szCs w:val="44"/>
        </w:rPr>
      </w:pPr>
    </w:p>
    <w:p w14:paraId="0D5307AB">
      <w:pPr>
        <w:pStyle w:val="3"/>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rPr>
      </w:pPr>
    </w:p>
    <w:p w14:paraId="161600FB">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叶政办</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号</w:t>
      </w:r>
    </w:p>
    <w:p w14:paraId="2EABEE9D">
      <w:pPr>
        <w:keepNext w:val="0"/>
        <w:keepLines w:val="0"/>
        <w:pageBreakBefore w:val="0"/>
        <w:widowControl w:val="0"/>
        <w:kinsoku/>
        <w:wordWrap/>
        <w:overflowPunct/>
        <w:topLinePunct w:val="0"/>
        <w:autoSpaceDE/>
        <w:autoSpaceDN/>
        <w:bidi w:val="0"/>
        <w:adjustRightInd/>
        <w:snapToGrid/>
        <w:spacing w:line="572" w:lineRule="exact"/>
        <w:ind w:firstLine="640"/>
        <w:jc w:val="center"/>
        <w:textAlignment w:val="auto"/>
        <w:rPr>
          <w:rFonts w:hint="eastAsia" w:ascii="方正小标宋简体" w:hAnsi="方正小标宋简体" w:eastAsia="方正小标宋简体" w:cs="方正小标宋简体"/>
          <w:bCs/>
          <w:kern w:val="1"/>
          <w:sz w:val="44"/>
          <w:szCs w:val="44"/>
        </w:rPr>
      </w:pPr>
    </w:p>
    <w:p w14:paraId="658FC761">
      <w:pPr>
        <w:pStyle w:val="3"/>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rPr>
      </w:pPr>
      <w:bookmarkStart w:id="0" w:name="_GoBack"/>
      <w:bookmarkEnd w:id="0"/>
    </w:p>
    <w:p w14:paraId="54E794CC">
      <w:pPr>
        <w:keepNext w:val="0"/>
        <w:keepLines w:val="0"/>
        <w:pageBreakBefore w:val="0"/>
        <w:widowControl w:val="0"/>
        <w:kinsoku/>
        <w:wordWrap/>
        <w:overflowPunct/>
        <w:topLinePunct w:val="0"/>
        <w:autoSpaceDE/>
        <w:autoSpaceDN/>
        <w:bidi w:val="0"/>
        <w:adjustRightInd/>
        <w:snapToGrid/>
        <w:spacing w:before="0" w:after="0" w:line="552"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8"/>
          <w:sz w:val="44"/>
          <w:szCs w:val="44"/>
        </w:rPr>
      </w:pPr>
      <w:r>
        <w:rPr>
          <w:rFonts w:hint="eastAsia" w:ascii="方正小标宋简体" w:hAnsi="方正小标宋简体" w:eastAsia="方正小标宋简体" w:cs="方正小标宋简体"/>
          <w:spacing w:val="28"/>
          <w:sz w:val="44"/>
          <w:szCs w:val="44"/>
          <w:lang w:val="en-US" w:eastAsia="zh-CN"/>
        </w:rPr>
        <w:t>叶县人民政府办公室</w:t>
      </w:r>
    </w:p>
    <w:p w14:paraId="685C86A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方正小标宋简体" w:eastAsia="方正小标宋简体"/>
          <w:spacing w:val="0"/>
          <w:w w:val="100"/>
          <w:sz w:val="44"/>
          <w:szCs w:val="44"/>
        </w:rPr>
      </w:pPr>
      <w:r>
        <w:rPr>
          <w:rFonts w:hint="eastAsia" w:ascii="方正小标宋简体" w:eastAsia="方正小标宋简体"/>
          <w:spacing w:val="0"/>
          <w:w w:val="100"/>
          <w:sz w:val="44"/>
          <w:szCs w:val="44"/>
        </w:rPr>
        <w:t>关于印发</w:t>
      </w:r>
      <w:r>
        <w:rPr>
          <w:rFonts w:hint="eastAsia" w:ascii="方正小标宋简体" w:eastAsia="方正小标宋简体"/>
          <w:spacing w:val="0"/>
          <w:w w:val="100"/>
          <w:sz w:val="44"/>
          <w:szCs w:val="44"/>
          <w:lang w:val="en-US" w:eastAsia="zh-CN"/>
        </w:rPr>
        <w:t>叶县</w:t>
      </w:r>
      <w:r>
        <w:rPr>
          <w:rFonts w:hint="eastAsia" w:ascii="方正小标宋简体" w:eastAsia="方正小标宋简体"/>
          <w:spacing w:val="0"/>
          <w:w w:val="100"/>
          <w:sz w:val="44"/>
          <w:szCs w:val="44"/>
        </w:rPr>
        <w:t>节水型社会达标建设复核工作</w:t>
      </w:r>
    </w:p>
    <w:p w14:paraId="4412A37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方正小标宋简体" w:eastAsia="方正小标宋简体"/>
          <w:spacing w:val="0"/>
          <w:w w:val="100"/>
          <w:sz w:val="44"/>
          <w:szCs w:val="44"/>
        </w:rPr>
      </w:pPr>
      <w:r>
        <w:rPr>
          <w:rFonts w:hint="eastAsia" w:ascii="方正小标宋简体" w:eastAsia="方正小标宋简体"/>
          <w:spacing w:val="0"/>
          <w:w w:val="100"/>
          <w:sz w:val="44"/>
          <w:szCs w:val="44"/>
        </w:rPr>
        <w:t>实施方案的通知</w:t>
      </w:r>
    </w:p>
    <w:p w14:paraId="4BA904CB">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ascii="方正小标宋简体" w:eastAsia="方正小标宋简体"/>
          <w:spacing w:val="0"/>
          <w:w w:val="100"/>
          <w:sz w:val="44"/>
          <w:szCs w:val="44"/>
        </w:rPr>
      </w:pPr>
    </w:p>
    <w:p w14:paraId="76227D80">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eastAsia="仿宋_GB2312"/>
          <w:spacing w:val="0"/>
          <w:w w:val="100"/>
          <w:sz w:val="32"/>
          <w:szCs w:val="32"/>
        </w:rPr>
      </w:pPr>
      <w:r>
        <w:rPr>
          <w:rFonts w:hint="eastAsia" w:ascii="仿宋_GB2312" w:eastAsia="仿宋_GB2312"/>
          <w:spacing w:val="0"/>
          <w:w w:val="100"/>
          <w:sz w:val="32"/>
          <w:szCs w:val="32"/>
        </w:rPr>
        <w:t>各乡镇人民政府、街道办事处，县人民政府各部门，有关单位：</w:t>
      </w:r>
    </w:p>
    <w:p w14:paraId="42F97F16">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r>
        <w:rPr>
          <w:rFonts w:hint="eastAsia" w:ascii="仿宋_GB2312" w:eastAsia="仿宋_GB2312"/>
          <w:spacing w:val="0"/>
          <w:w w:val="100"/>
          <w:sz w:val="32"/>
          <w:szCs w:val="32"/>
        </w:rPr>
        <w:t>《叶县节水型社会达标建设复核工作实施方案》已经县政府同意，现印发给你们，请认真贯</w:t>
      </w:r>
      <w:r>
        <w:rPr>
          <w:rFonts w:hint="eastAsia" w:ascii="仿宋_GB2312" w:hAnsi="仿宋_GB2312" w:eastAsia="仿宋_GB2312" w:cs="仿宋_GB2312"/>
          <w:spacing w:val="0"/>
          <w:w w:val="100"/>
          <w:sz w:val="32"/>
          <w:szCs w:val="32"/>
        </w:rPr>
        <w:t>彻执行。</w:t>
      </w:r>
    </w:p>
    <w:p w14:paraId="6DD4F348">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p>
    <w:p w14:paraId="109493B0">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p>
    <w:p w14:paraId="67CFBB1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p>
    <w:p w14:paraId="6A335C20">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p>
    <w:p w14:paraId="252A1228">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5120" w:firstLineChars="1600"/>
        <w:textAlignment w:val="auto"/>
        <w:rPr>
          <w:rFonts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w:t>
      </w:r>
      <w:r>
        <w:rPr>
          <w:rFonts w:hint="eastAsia" w:ascii="仿宋_GB2312" w:hAnsi="仿宋_GB2312" w:eastAsia="仿宋_GB2312" w:cs="仿宋_GB2312"/>
          <w:spacing w:val="0"/>
          <w:w w:val="100"/>
          <w:sz w:val="32"/>
          <w:szCs w:val="32"/>
          <w:lang w:val="en-US" w:eastAsia="zh-CN"/>
        </w:rPr>
        <w:t>24</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26</w:t>
      </w:r>
      <w:r>
        <w:rPr>
          <w:rFonts w:hint="eastAsia" w:ascii="仿宋_GB2312" w:hAnsi="仿宋_GB2312" w:eastAsia="仿宋_GB2312" w:cs="仿宋_GB2312"/>
          <w:spacing w:val="0"/>
          <w:w w:val="100"/>
          <w:sz w:val="32"/>
          <w:szCs w:val="32"/>
        </w:rPr>
        <w:t>日</w:t>
      </w:r>
    </w:p>
    <w:p w14:paraId="394C0E63">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w w:val="100"/>
          <w:sz w:val="44"/>
          <w:szCs w:val="44"/>
          <w:lang w:eastAsia="zh-CN"/>
        </w:rPr>
      </w:pPr>
      <w:r>
        <w:rPr>
          <w:rFonts w:hint="eastAsia" w:ascii="方正小标宋简体" w:hAnsi="方正小标宋简体" w:eastAsia="方正小标宋简体" w:cs="方正小标宋简体"/>
          <w:color w:val="000000"/>
          <w:spacing w:val="0"/>
          <w:w w:val="100"/>
          <w:sz w:val="44"/>
          <w:szCs w:val="44"/>
        </w:rPr>
        <w:t>叶县</w:t>
      </w:r>
      <w:r>
        <w:rPr>
          <w:rFonts w:hint="eastAsia" w:ascii="方正小标宋简体" w:hAnsi="方正小标宋简体" w:eastAsia="方正小标宋简体" w:cs="方正小标宋简体"/>
          <w:color w:val="000000"/>
          <w:spacing w:val="0"/>
          <w:w w:val="100"/>
          <w:sz w:val="44"/>
          <w:szCs w:val="44"/>
          <w:lang w:eastAsia="zh-CN"/>
        </w:rPr>
        <w:t>节水型社会达标建设复核工作</w:t>
      </w:r>
    </w:p>
    <w:p w14:paraId="383AFFF3">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w w:val="100"/>
          <w:sz w:val="44"/>
          <w:szCs w:val="44"/>
          <w:lang w:eastAsia="zh-CN"/>
        </w:rPr>
      </w:pPr>
      <w:r>
        <w:rPr>
          <w:rFonts w:hint="eastAsia" w:ascii="方正小标宋简体" w:hAnsi="方正小标宋简体" w:eastAsia="方正小标宋简体" w:cs="方正小标宋简体"/>
          <w:color w:val="000000"/>
          <w:spacing w:val="0"/>
          <w:w w:val="100"/>
          <w:sz w:val="44"/>
          <w:szCs w:val="44"/>
          <w:lang w:eastAsia="zh-CN"/>
        </w:rPr>
        <w:t>实</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lang w:eastAsia="zh-CN"/>
        </w:rPr>
        <w:t>施</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lang w:eastAsia="zh-CN"/>
        </w:rPr>
        <w:t>方</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lang w:eastAsia="zh-CN"/>
        </w:rPr>
        <w:t>案</w:t>
      </w:r>
    </w:p>
    <w:p w14:paraId="47651BA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both"/>
        <w:textAlignment w:val="auto"/>
        <w:rPr>
          <w:rFonts w:hint="eastAsia" w:ascii="方正小标宋简体" w:hAnsi="方正小标宋简体" w:eastAsia="方正小标宋简体" w:cs="方正小标宋简体"/>
          <w:color w:val="000000"/>
          <w:spacing w:val="0"/>
          <w:w w:val="100"/>
          <w:sz w:val="44"/>
          <w:szCs w:val="44"/>
          <w:lang w:eastAsia="zh-CN"/>
        </w:rPr>
      </w:pPr>
    </w:p>
    <w:p w14:paraId="0DDFD009">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为深入贯彻“节水优先”方针，加快推进我</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节水型社会建设，根据《水利部关于开展县域节水型社会达标建设工作的通知》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水资源〔2017〕184号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、《水利部关于修订印发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节水型社会评价标准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水节约〔2023〕245号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和《河南省水利厅关于印发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河南省县域节水型社会达标建设工作实施方案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豫水政资〔2017〕60号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等要求，结合我</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实际，制定本方案。</w:t>
      </w:r>
    </w:p>
    <w:p w14:paraId="5649372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ascii="黑体" w:hAnsi="仿宋" w:eastAsia="黑体" w:cs="仿宋"/>
          <w:color w:val="000000"/>
          <w:spacing w:val="0"/>
          <w:w w:val="100"/>
          <w:sz w:val="32"/>
          <w:szCs w:val="32"/>
        </w:rPr>
      </w:pPr>
      <w:r>
        <w:rPr>
          <w:rFonts w:hint="eastAsia" w:ascii="黑体" w:hAnsi="仿宋" w:eastAsia="黑体" w:cs="仿宋"/>
          <w:color w:val="000000"/>
          <w:spacing w:val="0"/>
          <w:w w:val="100"/>
          <w:sz w:val="32"/>
          <w:szCs w:val="32"/>
        </w:rPr>
        <w:t>一、指导思想</w:t>
      </w:r>
    </w:p>
    <w:p w14:paraId="0F76A7BE">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全面贯彻落实党的二十大精神，遵循“节水优先、空间均衡、系统治理、两手发力”的新时期治水思路和工作方针，以“创新、协调、绿色、开放、共享”五大发展理念引领节水事业发展，坚持以水定城、以水定地、以水定人、以水定产，以提高水资源利用效率和效益为核心，把加强需水管理、转变用水方式、促进经济发展方式作为主要目标，把落实最严格水资源管理制度作为节水型社会建设的重要内容，积极培育节水型生产模式和消费模式，建立</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政府调控、市场引导、公众参与</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的节水机制，健全全社会、全领域、全方位的立体节水模式，全面推进“体系完整、制度完善、设施完备、高效利用、节水自律、监督有效”的节水型社会建设。</w:t>
      </w:r>
    </w:p>
    <w:p w14:paraId="29880505">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ascii="黑体" w:hAnsi="仿宋" w:eastAsia="黑体" w:cs="仿宋"/>
          <w:color w:val="000000"/>
          <w:spacing w:val="0"/>
          <w:w w:val="100"/>
          <w:sz w:val="32"/>
          <w:szCs w:val="32"/>
        </w:rPr>
      </w:pPr>
      <w:r>
        <w:rPr>
          <w:rFonts w:hint="eastAsia" w:ascii="黑体" w:hAnsi="仿宋" w:eastAsia="黑体" w:cs="仿宋"/>
          <w:color w:val="000000"/>
          <w:spacing w:val="0"/>
          <w:w w:val="100"/>
          <w:sz w:val="32"/>
          <w:szCs w:val="32"/>
        </w:rPr>
        <w:t>二、基本原则</w:t>
      </w:r>
    </w:p>
    <w:p w14:paraId="393B10C8">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rPr>
        <w:t>（一）坚持以人为本，促进人水和谐。</w:t>
      </w:r>
      <w:r>
        <w:rPr>
          <w:rFonts w:hint="eastAsia" w:ascii="仿宋_GB2312" w:hAnsi="仿宋_GB2312" w:eastAsia="仿宋_GB2312" w:cs="仿宋_GB2312"/>
          <w:spacing w:val="0"/>
          <w:w w:val="100"/>
          <w:sz w:val="32"/>
          <w:szCs w:val="32"/>
        </w:rPr>
        <w:t>正确处理生活、生产和生态用水关系，优先保障居民基本生活用水，合理保留生态用水，通过提高用水效率和效益满足经济社会用水需求。</w:t>
      </w:r>
    </w:p>
    <w:p w14:paraId="4D656322">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rPr>
        <w:t>（二）坚持制度创新，规范用水行为。</w:t>
      </w:r>
      <w:r>
        <w:rPr>
          <w:rFonts w:hint="eastAsia" w:ascii="仿宋_GB2312" w:hAnsi="仿宋_GB2312" w:eastAsia="仿宋_GB2312" w:cs="仿宋_GB2312"/>
          <w:spacing w:val="0"/>
          <w:w w:val="100"/>
          <w:sz w:val="32"/>
          <w:szCs w:val="32"/>
        </w:rPr>
        <w:t>改革体制、完善机制、创新制度，逐步建立健全与资源环境承载能力相适应的水资源高效利用体系，推行以市场机制为基础的节水新机制，规范用水行为，实现水资源的合理开发、高效利用。</w:t>
      </w:r>
    </w:p>
    <w:p w14:paraId="71864397">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rPr>
        <w:t>（三）坚持政府主导，鼓励公众参与。</w:t>
      </w:r>
      <w:r>
        <w:rPr>
          <w:rFonts w:hint="eastAsia" w:ascii="仿宋_GB2312" w:hAnsi="仿宋_GB2312" w:eastAsia="仿宋_GB2312" w:cs="仿宋_GB2312"/>
          <w:spacing w:val="0"/>
          <w:w w:val="100"/>
          <w:sz w:val="32"/>
          <w:szCs w:val="32"/>
        </w:rPr>
        <w:t>发挥政府宏观调控和引导作用，强化政府对县域节水型社会建设的指导，建立县域节水型社会达标建设目标考核机制，强化</w:t>
      </w:r>
      <w:r>
        <w:rPr>
          <w:rFonts w:hint="eastAsia" w:ascii="仿宋_GB2312" w:hAnsi="仿宋_GB2312" w:eastAsia="仿宋_GB2312" w:cs="仿宋_GB2312"/>
          <w:spacing w:val="0"/>
          <w:w w:val="100"/>
          <w:sz w:val="32"/>
          <w:szCs w:val="32"/>
          <w:lang w:val="en-US" w:eastAsia="zh-CN"/>
        </w:rPr>
        <w:t>督导考核</w:t>
      </w:r>
      <w:r>
        <w:rPr>
          <w:rFonts w:hint="eastAsia" w:ascii="仿宋_GB2312" w:hAnsi="仿宋_GB2312" w:eastAsia="仿宋_GB2312" w:cs="仿宋_GB2312"/>
          <w:spacing w:val="0"/>
          <w:w w:val="100"/>
          <w:sz w:val="32"/>
          <w:szCs w:val="32"/>
        </w:rPr>
        <w:t>。鼓励社会公众广泛参与节水型社会建设，使建设节水型社会成为全社会的共识。</w:t>
      </w:r>
    </w:p>
    <w:p w14:paraId="7F07F15C">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rPr>
        <w:t>（四）坚持因地制宜，突出区域重点。</w:t>
      </w:r>
      <w:r>
        <w:rPr>
          <w:rFonts w:hint="eastAsia" w:ascii="仿宋_GB2312" w:hAnsi="仿宋_GB2312" w:eastAsia="仿宋_GB2312" w:cs="仿宋_GB2312"/>
          <w:spacing w:val="0"/>
          <w:w w:val="100"/>
          <w:sz w:val="32"/>
          <w:szCs w:val="32"/>
        </w:rPr>
        <w:t>依据我县水资源禀赋、经济社会发展水平、节水工作基础，探索符合区域实际，具有区域特色的做法，确定节水型社会建设重点和发展方向，合理安排各类节水工程和节水措施，突出区域重点。</w:t>
      </w:r>
    </w:p>
    <w:p w14:paraId="37852E59">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黑体" w:hAnsi="仿宋" w:eastAsia="黑体" w:cs="仿宋"/>
          <w:color w:val="000000"/>
          <w:spacing w:val="0"/>
          <w:w w:val="100"/>
          <w:sz w:val="32"/>
          <w:szCs w:val="32"/>
        </w:rPr>
      </w:pPr>
      <w:r>
        <w:rPr>
          <w:rFonts w:hint="eastAsia" w:ascii="黑体" w:hAnsi="仿宋" w:eastAsia="黑体" w:cs="仿宋"/>
          <w:color w:val="000000"/>
          <w:spacing w:val="0"/>
          <w:w w:val="100"/>
          <w:sz w:val="32"/>
          <w:szCs w:val="32"/>
        </w:rPr>
        <w:t>三、总体目标</w:t>
      </w:r>
    </w:p>
    <w:p w14:paraId="6415C65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2024年，全面开展节水型社会达标建设复核工作，达到《节水型社会评价标准》要求</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县域节水型社会建设取得显著成效。</w:t>
      </w:r>
    </w:p>
    <w:p w14:paraId="5E64CCEC">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黑体" w:hAnsi="仿宋" w:eastAsia="黑体" w:cs="仿宋"/>
          <w:color w:val="000000"/>
          <w:spacing w:val="0"/>
          <w:w w:val="100"/>
          <w:sz w:val="32"/>
          <w:szCs w:val="32"/>
          <w:lang w:eastAsia="zh-CN"/>
        </w:rPr>
      </w:pPr>
      <w:r>
        <w:rPr>
          <w:rFonts w:hint="eastAsia" w:ascii="黑体" w:hAnsi="仿宋" w:eastAsia="黑体" w:cs="仿宋"/>
          <w:color w:val="000000"/>
          <w:spacing w:val="0"/>
          <w:w w:val="100"/>
          <w:sz w:val="32"/>
          <w:szCs w:val="32"/>
          <w:lang w:val="en-US" w:eastAsia="zh-CN"/>
        </w:rPr>
        <w:t>四、</w:t>
      </w:r>
      <w:r>
        <w:rPr>
          <w:rFonts w:hint="eastAsia" w:ascii="黑体" w:hAnsi="仿宋" w:eastAsia="黑体" w:cs="仿宋"/>
          <w:color w:val="000000"/>
          <w:spacing w:val="0"/>
          <w:w w:val="100"/>
          <w:sz w:val="32"/>
          <w:szCs w:val="32"/>
        </w:rPr>
        <w:t>主要任务</w:t>
      </w:r>
    </w:p>
    <w:p w14:paraId="13F1028B">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城镇非居民用水户严格执行用水定额</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计划</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管理，将应纳入计划用水管理的非居民用水户全部纳入计划用水管理</w:t>
      </w:r>
      <w:r>
        <w:rPr>
          <w:rFonts w:hint="eastAsia" w:ascii="仿宋_GB2312" w:hAnsi="仿宋_GB2312" w:eastAsia="仿宋_GB2312" w:cs="仿宋_GB2312"/>
          <w:spacing w:val="0"/>
          <w:w w:val="100"/>
          <w:sz w:val="32"/>
          <w:szCs w:val="32"/>
          <w:lang w:eastAsia="zh-CN"/>
        </w:rPr>
        <w:t>。</w:t>
      </w:r>
    </w:p>
    <w:p w14:paraId="54EBC11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二</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全县</w:t>
      </w:r>
      <w:r>
        <w:rPr>
          <w:rFonts w:hint="eastAsia" w:ascii="仿宋_GB2312" w:hAnsi="仿宋_GB2312" w:eastAsia="仿宋_GB2312" w:cs="仿宋_GB2312"/>
          <w:spacing w:val="0"/>
          <w:w w:val="100"/>
          <w:sz w:val="32"/>
          <w:szCs w:val="32"/>
        </w:rPr>
        <w:t>工业用水计量率达到100%</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农业灌溉用水计量率</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80%</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公共供水管网漏损率</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9%</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再生水利用率≥20%</w:t>
      </w:r>
      <w:r>
        <w:rPr>
          <w:rFonts w:hint="eastAsia" w:ascii="仿宋_GB2312" w:hAnsi="仿宋_GB2312" w:eastAsia="仿宋_GB2312" w:cs="仿宋_GB2312"/>
          <w:spacing w:val="0"/>
          <w:w w:val="100"/>
          <w:sz w:val="32"/>
          <w:szCs w:val="32"/>
          <w:lang w:eastAsia="zh-CN"/>
        </w:rPr>
        <w:t>。</w:t>
      </w:r>
    </w:p>
    <w:p w14:paraId="20834BD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三</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农业水价综合改革实际实施面积占</w:t>
      </w:r>
      <w:r>
        <w:rPr>
          <w:rFonts w:hint="eastAsia" w:ascii="仿宋_GB2312" w:hAnsi="仿宋_GB2312" w:eastAsia="仿宋_GB2312" w:cs="仿宋_GB2312"/>
          <w:spacing w:val="0"/>
          <w:w w:val="100"/>
          <w:sz w:val="32"/>
          <w:szCs w:val="32"/>
          <w:lang w:val="en-US" w:eastAsia="zh-CN"/>
        </w:rPr>
        <w:t>全县</w:t>
      </w:r>
      <w:r>
        <w:rPr>
          <w:rFonts w:hint="eastAsia" w:ascii="仿宋_GB2312" w:hAnsi="仿宋_GB2312" w:eastAsia="仿宋_GB2312" w:cs="仿宋_GB2312"/>
          <w:spacing w:val="0"/>
          <w:w w:val="100"/>
          <w:sz w:val="32"/>
          <w:szCs w:val="32"/>
        </w:rPr>
        <w:t>灌溉面积比例达到80%</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农村集中供水工程水费收缴率≥90%</w:t>
      </w:r>
      <w:r>
        <w:rPr>
          <w:rFonts w:hint="eastAsia" w:ascii="仿宋_GB2312" w:hAnsi="仿宋_GB2312" w:eastAsia="仿宋_GB2312" w:cs="仿宋_GB2312"/>
          <w:spacing w:val="0"/>
          <w:w w:val="100"/>
          <w:sz w:val="32"/>
          <w:szCs w:val="32"/>
          <w:lang w:eastAsia="zh-CN"/>
        </w:rPr>
        <w:t>。</w:t>
      </w:r>
    </w:p>
    <w:p w14:paraId="297A6CBD">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四</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严格执行居民用水阶梯式水价制度和</w:t>
      </w:r>
      <w:r>
        <w:rPr>
          <w:rFonts w:hint="eastAsia" w:ascii="仿宋_GB2312" w:hAnsi="仿宋_GB2312" w:eastAsia="仿宋_GB2312" w:cs="仿宋_GB2312"/>
          <w:spacing w:val="0"/>
          <w:w w:val="100"/>
          <w:sz w:val="32"/>
          <w:szCs w:val="32"/>
          <w:lang w:val="en-US" w:eastAsia="zh-CN"/>
        </w:rPr>
        <w:t>城镇</w:t>
      </w:r>
      <w:r>
        <w:rPr>
          <w:rFonts w:hint="eastAsia" w:ascii="仿宋_GB2312" w:hAnsi="仿宋_GB2312" w:eastAsia="仿宋_GB2312" w:cs="仿宋_GB2312"/>
          <w:spacing w:val="0"/>
          <w:w w:val="100"/>
          <w:sz w:val="32"/>
          <w:szCs w:val="32"/>
        </w:rPr>
        <w:t>非居民用水</w:t>
      </w:r>
      <w:r>
        <w:rPr>
          <w:rFonts w:hint="eastAsia" w:ascii="仿宋_GB2312" w:hAnsi="仿宋_GB2312" w:eastAsia="仿宋_GB2312" w:cs="仿宋_GB2312"/>
          <w:spacing w:val="0"/>
          <w:w w:val="100"/>
          <w:sz w:val="32"/>
          <w:szCs w:val="32"/>
          <w:lang w:val="en-US" w:eastAsia="zh-CN"/>
        </w:rPr>
        <w:t>超</w:t>
      </w:r>
      <w:r>
        <w:rPr>
          <w:rFonts w:hint="eastAsia" w:ascii="仿宋_GB2312" w:hAnsi="仿宋_GB2312" w:eastAsia="仿宋_GB2312" w:cs="仿宋_GB2312"/>
          <w:spacing w:val="0"/>
          <w:w w:val="100"/>
          <w:sz w:val="32"/>
          <w:szCs w:val="32"/>
        </w:rPr>
        <w:t>定额累进加价制度，按照标准足额征缴水资源税</w:t>
      </w:r>
      <w:r>
        <w:rPr>
          <w:rFonts w:hint="eastAsia" w:ascii="仿宋_GB2312" w:hAnsi="仿宋_GB2312" w:eastAsia="仿宋_GB2312" w:cs="仿宋_GB2312"/>
          <w:spacing w:val="0"/>
          <w:w w:val="100"/>
          <w:sz w:val="32"/>
          <w:szCs w:val="32"/>
          <w:lang w:eastAsia="zh-CN"/>
        </w:rPr>
        <w:t>；</w:t>
      </w:r>
    </w:p>
    <w:p w14:paraId="49DBF535">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五</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新建项目全部执行节水“三同时”管理制度</w:t>
      </w:r>
      <w:r>
        <w:rPr>
          <w:rFonts w:hint="eastAsia" w:ascii="仿宋_GB2312" w:hAnsi="仿宋_GB2312" w:eastAsia="仿宋_GB2312" w:cs="仿宋_GB2312"/>
          <w:spacing w:val="0"/>
          <w:w w:val="100"/>
          <w:sz w:val="32"/>
          <w:szCs w:val="32"/>
          <w:lang w:eastAsia="zh-CN"/>
        </w:rPr>
        <w:t>。</w:t>
      </w:r>
    </w:p>
    <w:p w14:paraId="65398D84">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六</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重点用水行业节水型企业建成率≥50%</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公共机构节水型单位建成率≥50%</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节水型居民小区建成率≥20%</w:t>
      </w:r>
      <w:r>
        <w:rPr>
          <w:rFonts w:hint="eastAsia" w:ascii="仿宋_GB2312" w:hAnsi="仿宋_GB2312" w:eastAsia="仿宋_GB2312" w:cs="仿宋_GB2312"/>
          <w:spacing w:val="0"/>
          <w:w w:val="100"/>
          <w:sz w:val="32"/>
          <w:szCs w:val="32"/>
          <w:lang w:eastAsia="zh-CN"/>
        </w:rPr>
        <w:t>。</w:t>
      </w:r>
    </w:p>
    <w:p w14:paraId="32D0E399">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七</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全面提高全民节水意识</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大力推广节水新技术、新工艺、新产品。</w:t>
      </w:r>
    </w:p>
    <w:p w14:paraId="63EA9F3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ascii="黑体" w:hAnsi="仿宋" w:eastAsia="黑体" w:cs="仿宋"/>
          <w:color w:val="000000"/>
          <w:spacing w:val="0"/>
          <w:w w:val="100"/>
          <w:sz w:val="32"/>
          <w:szCs w:val="32"/>
        </w:rPr>
      </w:pPr>
      <w:r>
        <w:rPr>
          <w:rFonts w:hint="eastAsia" w:ascii="黑体" w:hAnsi="仿宋" w:eastAsia="黑体" w:cs="仿宋"/>
          <w:color w:val="000000"/>
          <w:spacing w:val="0"/>
          <w:w w:val="100"/>
          <w:sz w:val="32"/>
          <w:szCs w:val="32"/>
          <w:lang w:eastAsia="zh-CN"/>
        </w:rPr>
        <w:t>五</w:t>
      </w:r>
      <w:r>
        <w:rPr>
          <w:rFonts w:hint="eastAsia" w:ascii="黑体" w:hAnsi="仿宋" w:eastAsia="黑体" w:cs="仿宋"/>
          <w:color w:val="000000"/>
          <w:spacing w:val="0"/>
          <w:w w:val="100"/>
          <w:sz w:val="32"/>
          <w:szCs w:val="32"/>
        </w:rPr>
        <w:t>、实施</w:t>
      </w:r>
      <w:r>
        <w:rPr>
          <w:rFonts w:hint="eastAsia" w:ascii="黑体" w:hAnsi="仿宋" w:eastAsia="黑体" w:cs="仿宋"/>
          <w:color w:val="000000"/>
          <w:spacing w:val="0"/>
          <w:w w:val="100"/>
          <w:sz w:val="32"/>
          <w:szCs w:val="32"/>
          <w:lang w:val="en-US" w:eastAsia="zh-CN"/>
        </w:rPr>
        <w:t>步骤</w:t>
      </w:r>
    </w:p>
    <w:p w14:paraId="0EC4C71A">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一</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rPr>
        <w:t>动员部署阶段</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rPr>
        <w:t>2024年</w:t>
      </w:r>
      <w:r>
        <w:rPr>
          <w:rFonts w:hint="eastAsia" w:ascii="楷体_GB2312" w:hAnsi="楷体_GB2312" w:eastAsia="楷体_GB2312" w:cs="楷体_GB2312"/>
          <w:b/>
          <w:bCs/>
          <w:spacing w:val="0"/>
          <w:w w:val="100"/>
          <w:sz w:val="32"/>
          <w:szCs w:val="32"/>
          <w:lang w:val="en-US" w:eastAsia="zh-CN"/>
        </w:rPr>
        <w:t>6</w:t>
      </w:r>
      <w:r>
        <w:rPr>
          <w:rFonts w:hint="eastAsia" w:ascii="楷体_GB2312" w:hAnsi="楷体_GB2312" w:eastAsia="楷体_GB2312" w:cs="楷体_GB2312"/>
          <w:b/>
          <w:bCs/>
          <w:spacing w:val="0"/>
          <w:w w:val="100"/>
          <w:sz w:val="32"/>
          <w:szCs w:val="32"/>
        </w:rPr>
        <w:t>月</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rPr>
        <w:t>。</w:t>
      </w:r>
      <w:r>
        <w:rPr>
          <w:rFonts w:hint="eastAsia" w:ascii="仿宋_GB2312" w:hAnsi="仿宋_GB2312" w:eastAsia="仿宋_GB2312" w:cs="仿宋_GB2312"/>
          <w:spacing w:val="0"/>
          <w:w w:val="100"/>
          <w:sz w:val="32"/>
          <w:szCs w:val="32"/>
        </w:rPr>
        <w:t>召开专题会议安排部署，明确各责任单位目标任务和联络员，制定具体工作计划，确保各项目标任务落实到位。广泛开展宣传动员，提高全民节水自觉性，营造全社会参与节水型社会建设的氛围。</w:t>
      </w:r>
    </w:p>
    <w:p w14:paraId="42602B40">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lang w:eastAsia="zh-CN"/>
        </w:rPr>
        <w:t>（二）稳步实施阶段（2024年7月）。</w:t>
      </w:r>
      <w:r>
        <w:rPr>
          <w:rFonts w:hint="eastAsia" w:ascii="仿宋_GB2312" w:hAnsi="仿宋_GB2312" w:eastAsia="仿宋_GB2312" w:cs="仿宋_GB2312"/>
          <w:spacing w:val="0"/>
          <w:w w:val="100"/>
          <w:sz w:val="32"/>
          <w:szCs w:val="32"/>
        </w:rPr>
        <w:t>各责任单位按照方案要求，依据节水型社会评价标准，细化分解各项工作任务，全面组织开展建设工作，确保各项指标达到</w:t>
      </w:r>
      <w:r>
        <w:rPr>
          <w:rFonts w:hint="eastAsia" w:ascii="仿宋_GB2312" w:hAnsi="仿宋_GB2312" w:eastAsia="仿宋_GB2312" w:cs="仿宋_GB2312"/>
          <w:spacing w:val="0"/>
          <w:w w:val="100"/>
          <w:sz w:val="32"/>
          <w:szCs w:val="32"/>
          <w:lang w:val="en-US" w:eastAsia="zh-CN"/>
        </w:rPr>
        <w:t>评价</w:t>
      </w:r>
      <w:r>
        <w:rPr>
          <w:rFonts w:hint="eastAsia" w:ascii="仿宋_GB2312" w:hAnsi="仿宋_GB2312" w:eastAsia="仿宋_GB2312" w:cs="仿宋_GB2312"/>
          <w:spacing w:val="0"/>
          <w:w w:val="100"/>
          <w:sz w:val="32"/>
          <w:szCs w:val="32"/>
        </w:rPr>
        <w:t>标准要求，并将相关指标支撑材料报送</w:t>
      </w:r>
      <w:r>
        <w:rPr>
          <w:rFonts w:hint="eastAsia" w:ascii="仿宋_GB2312" w:hAnsi="仿宋_GB2312" w:eastAsia="仿宋_GB2312" w:cs="仿宋_GB2312"/>
          <w:spacing w:val="0"/>
          <w:w w:val="100"/>
          <w:sz w:val="32"/>
          <w:szCs w:val="32"/>
          <w:lang w:val="en-US" w:eastAsia="zh-CN"/>
        </w:rPr>
        <w:t>至县</w:t>
      </w:r>
      <w:r>
        <w:rPr>
          <w:rFonts w:hint="eastAsia" w:ascii="仿宋_GB2312" w:hAnsi="仿宋_GB2312" w:eastAsia="仿宋_GB2312" w:cs="仿宋_GB2312"/>
          <w:spacing w:val="0"/>
          <w:w w:val="100"/>
          <w:sz w:val="32"/>
          <w:szCs w:val="32"/>
        </w:rPr>
        <w:t>节水型社会达标建设</w:t>
      </w:r>
      <w:r>
        <w:rPr>
          <w:rFonts w:hint="eastAsia" w:ascii="仿宋_GB2312" w:hAnsi="仿宋_GB2312" w:eastAsia="仿宋_GB2312" w:cs="仿宋_GB2312"/>
          <w:spacing w:val="0"/>
          <w:w w:val="100"/>
          <w:sz w:val="32"/>
          <w:szCs w:val="32"/>
          <w:lang w:val="en-US" w:eastAsia="zh-CN"/>
        </w:rPr>
        <w:t>复核工作</w:t>
      </w:r>
      <w:r>
        <w:rPr>
          <w:rFonts w:hint="eastAsia" w:ascii="仿宋_GB2312" w:hAnsi="仿宋_GB2312" w:eastAsia="仿宋_GB2312" w:cs="仿宋_GB2312"/>
          <w:spacing w:val="0"/>
          <w:w w:val="100"/>
          <w:sz w:val="32"/>
          <w:szCs w:val="32"/>
        </w:rPr>
        <w:t>领导小组办公室。</w:t>
      </w:r>
    </w:p>
    <w:p w14:paraId="67A8A629">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lang w:eastAsia="zh-CN"/>
        </w:rPr>
        <w:t>（三）巩固提升阶段（2024年8月—9月）。</w:t>
      </w:r>
      <w:r>
        <w:rPr>
          <w:rFonts w:hint="eastAsia" w:ascii="仿宋_GB2312" w:hAnsi="仿宋_GB2312" w:eastAsia="仿宋_GB2312" w:cs="仿宋_GB2312"/>
          <w:spacing w:val="0"/>
          <w:w w:val="100"/>
          <w:sz w:val="32"/>
          <w:szCs w:val="32"/>
        </w:rPr>
        <w:t>深化</w:t>
      </w:r>
      <w:r>
        <w:rPr>
          <w:rFonts w:hint="eastAsia" w:ascii="仿宋_GB2312" w:hAnsi="仿宋_GB2312" w:eastAsia="仿宋_GB2312" w:cs="仿宋_GB2312"/>
          <w:spacing w:val="0"/>
          <w:w w:val="100"/>
          <w:sz w:val="32"/>
          <w:szCs w:val="32"/>
          <w:lang w:val="en-US" w:eastAsia="zh-CN"/>
        </w:rPr>
        <w:t>叶县</w:t>
      </w:r>
      <w:r>
        <w:rPr>
          <w:rFonts w:hint="eastAsia" w:ascii="仿宋_GB2312" w:hAnsi="仿宋_GB2312" w:eastAsia="仿宋_GB2312" w:cs="仿宋_GB2312"/>
          <w:spacing w:val="0"/>
          <w:w w:val="100"/>
          <w:sz w:val="32"/>
          <w:szCs w:val="32"/>
        </w:rPr>
        <w:t>节水型社会建设成果，持续推进节水工程建设，推广和普及节水技术</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充分发挥示范性公共机构、企业、小区引领作用，强化节水型载体建设工作，基本建立起符合</w:t>
      </w:r>
      <w:r>
        <w:rPr>
          <w:rFonts w:hint="eastAsia" w:ascii="仿宋_GB2312" w:hAnsi="仿宋_GB2312" w:eastAsia="仿宋_GB2312" w:cs="仿宋_GB2312"/>
          <w:spacing w:val="0"/>
          <w:w w:val="100"/>
          <w:sz w:val="32"/>
          <w:szCs w:val="32"/>
          <w:lang w:val="en-US" w:eastAsia="zh-CN"/>
        </w:rPr>
        <w:t>我县</w:t>
      </w:r>
      <w:r>
        <w:rPr>
          <w:rFonts w:hint="eastAsia" w:ascii="仿宋_GB2312" w:hAnsi="仿宋_GB2312" w:eastAsia="仿宋_GB2312" w:cs="仿宋_GB2312"/>
          <w:spacing w:val="0"/>
          <w:w w:val="100"/>
          <w:sz w:val="32"/>
          <w:szCs w:val="32"/>
        </w:rPr>
        <w:t>实际的政府控制、市场引导、多方参与的节水型社会体系，提高水资源的利用效率和效益，实现人水和谐与水资源可持续利用，保障经济社会可持续发展。</w:t>
      </w:r>
    </w:p>
    <w:p w14:paraId="72CC751F">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黑体" w:hAnsi="仿宋" w:eastAsia="黑体" w:cs="仿宋"/>
          <w:color w:val="000000"/>
          <w:spacing w:val="0"/>
          <w:w w:val="100"/>
          <w:sz w:val="32"/>
          <w:szCs w:val="32"/>
          <w:lang w:eastAsia="zh-CN"/>
        </w:rPr>
      </w:pPr>
      <w:r>
        <w:rPr>
          <w:rFonts w:hint="eastAsia" w:ascii="黑体" w:hAnsi="仿宋" w:eastAsia="黑体" w:cs="仿宋"/>
          <w:color w:val="000000"/>
          <w:spacing w:val="0"/>
          <w:w w:val="100"/>
          <w:sz w:val="32"/>
          <w:szCs w:val="32"/>
          <w:lang w:val="en-US" w:eastAsia="zh-CN"/>
        </w:rPr>
        <w:t>六</w:t>
      </w:r>
      <w:r>
        <w:rPr>
          <w:rFonts w:hint="eastAsia" w:ascii="黑体" w:hAnsi="仿宋" w:eastAsia="黑体" w:cs="仿宋"/>
          <w:color w:val="000000"/>
          <w:spacing w:val="0"/>
          <w:w w:val="100"/>
          <w:sz w:val="32"/>
          <w:szCs w:val="32"/>
        </w:rPr>
        <w:t>、</w:t>
      </w:r>
      <w:r>
        <w:rPr>
          <w:rFonts w:hint="eastAsia" w:ascii="黑体" w:hAnsi="仿宋" w:eastAsia="黑体" w:cs="仿宋"/>
          <w:color w:val="000000"/>
          <w:spacing w:val="0"/>
          <w:w w:val="100"/>
          <w:sz w:val="32"/>
          <w:szCs w:val="32"/>
          <w:lang w:val="en-US" w:eastAsia="zh-CN"/>
        </w:rPr>
        <w:t>工作要求</w:t>
      </w:r>
    </w:p>
    <w:p w14:paraId="437C3243">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eastAsia" w:ascii="楷体_GB2312" w:hAnsi="仿宋" w:eastAsia="楷体_GB2312" w:cs="仿宋"/>
          <w:color w:val="000000"/>
          <w:spacing w:val="0"/>
          <w:w w:val="100"/>
          <w:sz w:val="32"/>
          <w:szCs w:val="32"/>
          <w:shd w:val="clear" w:color="auto" w:fill="FFFFFF"/>
        </w:rPr>
      </w:pPr>
      <w:r>
        <w:rPr>
          <w:rFonts w:hint="eastAsia" w:ascii="楷体_GB2312" w:hAnsi="楷体_GB2312" w:eastAsia="楷体_GB2312" w:cs="楷体_GB2312"/>
          <w:b/>
          <w:bCs/>
          <w:spacing w:val="0"/>
          <w:w w:val="100"/>
          <w:sz w:val="32"/>
          <w:szCs w:val="32"/>
        </w:rPr>
        <w:t>（一）加强组织领导，落实</w:t>
      </w:r>
      <w:r>
        <w:rPr>
          <w:rFonts w:hint="eastAsia" w:ascii="楷体_GB2312" w:hAnsi="楷体_GB2312" w:eastAsia="楷体_GB2312" w:cs="楷体_GB2312"/>
          <w:b/>
          <w:bCs/>
          <w:spacing w:val="0"/>
          <w:w w:val="100"/>
          <w:sz w:val="32"/>
          <w:szCs w:val="32"/>
          <w:lang w:val="en-US" w:eastAsia="zh-CN"/>
        </w:rPr>
        <w:t>工作</w:t>
      </w:r>
      <w:r>
        <w:rPr>
          <w:rFonts w:hint="eastAsia" w:ascii="楷体_GB2312" w:hAnsi="楷体_GB2312" w:eastAsia="楷体_GB2312" w:cs="楷体_GB2312"/>
          <w:b/>
          <w:bCs/>
          <w:spacing w:val="0"/>
          <w:w w:val="100"/>
          <w:sz w:val="32"/>
          <w:szCs w:val="32"/>
        </w:rPr>
        <w:t>责任</w:t>
      </w:r>
      <w:r>
        <w:rPr>
          <w:rFonts w:hint="eastAsia" w:ascii="楷体_GB2312" w:hAnsi="楷体_GB2312" w:eastAsia="楷体_GB2312" w:cs="楷体_GB2312"/>
          <w:b/>
          <w:bCs/>
          <w:spacing w:val="0"/>
          <w:w w:val="100"/>
          <w:sz w:val="32"/>
          <w:szCs w:val="32"/>
          <w:lang w:eastAsia="zh-CN"/>
        </w:rPr>
        <w:t>。</w:t>
      </w:r>
      <w:r>
        <w:rPr>
          <w:rFonts w:hint="eastAsia" w:ascii="仿宋_GB2312" w:hAnsi="仿宋_GB2312" w:eastAsia="仿宋_GB2312" w:cs="仿宋_GB2312"/>
          <w:spacing w:val="0"/>
          <w:w w:val="100"/>
          <w:sz w:val="32"/>
          <w:szCs w:val="32"/>
        </w:rPr>
        <w:t>成立</w:t>
      </w:r>
      <w:r>
        <w:rPr>
          <w:rFonts w:hint="eastAsia" w:ascii="仿宋_GB2312" w:hAnsi="仿宋_GB2312" w:eastAsia="仿宋_GB2312" w:cs="仿宋_GB2312"/>
          <w:spacing w:val="0"/>
          <w:w w:val="100"/>
          <w:sz w:val="32"/>
          <w:szCs w:val="32"/>
          <w:lang w:eastAsia="zh-CN"/>
        </w:rPr>
        <w:t>县</w:t>
      </w:r>
      <w:r>
        <w:rPr>
          <w:rFonts w:hint="eastAsia" w:ascii="仿宋_GB2312" w:hAnsi="仿宋_GB2312" w:eastAsia="仿宋_GB2312" w:cs="仿宋_GB2312"/>
          <w:spacing w:val="0"/>
          <w:w w:val="100"/>
          <w:sz w:val="32"/>
          <w:szCs w:val="32"/>
        </w:rPr>
        <w:t>节水型社会达标建设复核工作领导小组，建立完善目标责任落实机制，统筹推动深度节水控水。县发改</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教体、</w:t>
      </w:r>
      <w:r>
        <w:rPr>
          <w:rFonts w:hint="eastAsia" w:ascii="仿宋_GB2312" w:hAnsi="仿宋_GB2312" w:eastAsia="仿宋_GB2312" w:cs="仿宋_GB2312"/>
          <w:spacing w:val="0"/>
          <w:w w:val="100"/>
          <w:sz w:val="32"/>
          <w:szCs w:val="32"/>
        </w:rPr>
        <w:t>工信</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财政</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住建、</w:t>
      </w:r>
      <w:r>
        <w:rPr>
          <w:rFonts w:hint="eastAsia" w:ascii="仿宋_GB2312" w:hAnsi="仿宋_GB2312" w:eastAsia="仿宋_GB2312" w:cs="仿宋_GB2312"/>
          <w:spacing w:val="0"/>
          <w:w w:val="100"/>
          <w:sz w:val="32"/>
          <w:szCs w:val="32"/>
        </w:rPr>
        <w:t>农业</w:t>
      </w:r>
      <w:r>
        <w:rPr>
          <w:rFonts w:hint="eastAsia" w:ascii="仿宋_GB2312" w:hAnsi="仿宋_GB2312" w:eastAsia="仿宋_GB2312" w:cs="仿宋_GB2312"/>
          <w:spacing w:val="0"/>
          <w:w w:val="100"/>
          <w:sz w:val="32"/>
          <w:szCs w:val="32"/>
          <w:lang w:val="en-US" w:eastAsia="zh-CN"/>
        </w:rPr>
        <w:t>农村、文化旅游</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市场监管、</w:t>
      </w:r>
      <w:r>
        <w:rPr>
          <w:rFonts w:hint="eastAsia" w:ascii="仿宋_GB2312" w:hAnsi="仿宋_GB2312" w:eastAsia="仿宋_GB2312" w:cs="仿宋_GB2312"/>
          <w:spacing w:val="0"/>
          <w:w w:val="100"/>
          <w:sz w:val="32"/>
          <w:szCs w:val="32"/>
          <w:lang w:val="en-US" w:eastAsia="zh-CN"/>
        </w:rPr>
        <w:t>城市管理、税务、生态环境</w:t>
      </w:r>
      <w:r>
        <w:rPr>
          <w:rFonts w:hint="eastAsia" w:ascii="仿宋_GB2312" w:hAnsi="仿宋_GB2312" w:eastAsia="仿宋_GB2312" w:cs="仿宋_GB2312"/>
          <w:spacing w:val="0"/>
          <w:w w:val="100"/>
          <w:sz w:val="32"/>
          <w:szCs w:val="32"/>
        </w:rPr>
        <w:t>等部门要</w:t>
      </w:r>
      <w:r>
        <w:rPr>
          <w:rFonts w:hint="eastAsia" w:ascii="仿宋_GB2312" w:hAnsi="仿宋_GB2312" w:eastAsia="仿宋_GB2312" w:cs="仿宋_GB2312"/>
          <w:spacing w:val="0"/>
          <w:w w:val="100"/>
          <w:sz w:val="32"/>
          <w:szCs w:val="32"/>
          <w:lang w:val="en-US" w:eastAsia="zh-CN"/>
        </w:rPr>
        <w:t>高度重视，落实</w:t>
      </w:r>
      <w:r>
        <w:rPr>
          <w:rFonts w:hint="eastAsia" w:ascii="仿宋_GB2312" w:hAnsi="仿宋_GB2312" w:eastAsia="仿宋_GB2312" w:cs="仿宋_GB2312"/>
          <w:spacing w:val="0"/>
          <w:w w:val="100"/>
          <w:sz w:val="32"/>
          <w:szCs w:val="32"/>
        </w:rPr>
        <w:t>工作责任，发挥职能作用，</w:t>
      </w:r>
      <w:r>
        <w:rPr>
          <w:rFonts w:hint="eastAsia" w:ascii="仿宋_GB2312" w:hAnsi="仿宋_GB2312" w:eastAsia="仿宋_GB2312" w:cs="仿宋_GB2312"/>
          <w:spacing w:val="0"/>
          <w:w w:val="100"/>
          <w:sz w:val="32"/>
          <w:szCs w:val="32"/>
          <w:lang w:val="en-US" w:eastAsia="zh-CN"/>
        </w:rPr>
        <w:t>强化</w:t>
      </w:r>
      <w:r>
        <w:rPr>
          <w:rFonts w:hint="eastAsia" w:ascii="仿宋_GB2312" w:hAnsi="仿宋_GB2312" w:eastAsia="仿宋_GB2312" w:cs="仿宋_GB2312"/>
          <w:spacing w:val="0"/>
          <w:w w:val="100"/>
          <w:sz w:val="32"/>
          <w:szCs w:val="32"/>
        </w:rPr>
        <w:t>协调配合，</w:t>
      </w:r>
      <w:r>
        <w:rPr>
          <w:rFonts w:hint="eastAsia" w:ascii="仿宋_GB2312" w:hAnsi="仿宋_GB2312" w:eastAsia="仿宋_GB2312" w:cs="仿宋_GB2312"/>
          <w:spacing w:val="0"/>
          <w:w w:val="100"/>
          <w:sz w:val="32"/>
          <w:szCs w:val="32"/>
          <w:lang w:val="en-US" w:eastAsia="zh-CN"/>
        </w:rPr>
        <w:t>形成工作合力，</w:t>
      </w:r>
      <w:r>
        <w:rPr>
          <w:rFonts w:hint="eastAsia" w:ascii="仿宋_GB2312" w:hAnsi="仿宋_GB2312" w:eastAsia="仿宋_GB2312" w:cs="仿宋_GB2312"/>
          <w:spacing w:val="0"/>
          <w:w w:val="100"/>
          <w:sz w:val="32"/>
          <w:szCs w:val="32"/>
        </w:rPr>
        <w:t>全力抓好工作。</w:t>
      </w:r>
    </w:p>
    <w:p w14:paraId="3CD5DE9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二</w:t>
      </w:r>
      <w:r>
        <w:rPr>
          <w:rFonts w:hint="eastAsia" w:ascii="楷体_GB2312" w:hAnsi="楷体_GB2312" w:eastAsia="楷体_GB2312" w:cs="楷体_GB2312"/>
          <w:b/>
          <w:bCs/>
          <w:spacing w:val="0"/>
          <w:w w:val="100"/>
          <w:sz w:val="32"/>
          <w:szCs w:val="32"/>
          <w:lang w:eastAsia="zh-CN"/>
        </w:rPr>
        <w:t>）拓宽融资渠道，</w:t>
      </w:r>
      <w:r>
        <w:rPr>
          <w:rFonts w:hint="eastAsia" w:ascii="楷体_GB2312" w:hAnsi="楷体_GB2312" w:eastAsia="楷体_GB2312" w:cs="楷体_GB2312"/>
          <w:b/>
          <w:bCs/>
          <w:spacing w:val="0"/>
          <w:w w:val="100"/>
          <w:sz w:val="32"/>
          <w:szCs w:val="32"/>
          <w:lang w:val="en-US" w:eastAsia="zh-CN"/>
        </w:rPr>
        <w:t>多元投入保障</w:t>
      </w:r>
      <w:r>
        <w:rPr>
          <w:rFonts w:hint="eastAsia" w:ascii="楷体_GB2312" w:hAnsi="楷体_GB2312" w:eastAsia="楷体_GB2312" w:cs="楷体_GB2312"/>
          <w:b/>
          <w:bCs/>
          <w:spacing w:val="0"/>
          <w:w w:val="100"/>
          <w:sz w:val="32"/>
          <w:szCs w:val="32"/>
          <w:lang w:eastAsia="zh-CN"/>
        </w:rPr>
        <w:t>。</w:t>
      </w:r>
      <w:r>
        <w:rPr>
          <w:rFonts w:hint="eastAsia" w:ascii="仿宋_GB2312" w:hAnsi="仿宋_GB2312" w:eastAsia="仿宋_GB2312" w:cs="仿宋_GB2312"/>
          <w:spacing w:val="0"/>
          <w:w w:val="100"/>
          <w:sz w:val="32"/>
          <w:szCs w:val="32"/>
          <w:lang w:eastAsia="zh-CN"/>
        </w:rPr>
        <w:t>积极争取国家和省、市节水专项经费支持，加强绩效管理，提高资金使用效益。</w:t>
      </w:r>
      <w:r>
        <w:rPr>
          <w:rFonts w:hint="eastAsia" w:ascii="仿宋_GB2312" w:hAnsi="仿宋_GB2312" w:eastAsia="仿宋_GB2312" w:cs="仿宋_GB2312"/>
          <w:spacing w:val="0"/>
          <w:w w:val="100"/>
          <w:sz w:val="32"/>
          <w:szCs w:val="32"/>
        </w:rPr>
        <w:t>优化现有水利支出结构，综合运用财政、税收、价格等调控措施，积极支持重点节水工程建设。大力推进合同节水管理等模式，突出新型融资机制探索和实践，形成基于市场机制的节水服务模式，吸引社会资本投入节水型社会建设。</w:t>
      </w:r>
    </w:p>
    <w:p w14:paraId="2730C52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hint="default"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三</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严格</w:t>
      </w:r>
      <w:r>
        <w:rPr>
          <w:rFonts w:hint="eastAsia" w:ascii="楷体_GB2312" w:hAnsi="楷体_GB2312" w:eastAsia="楷体_GB2312" w:cs="楷体_GB2312"/>
          <w:b/>
          <w:bCs/>
          <w:spacing w:val="0"/>
          <w:w w:val="100"/>
          <w:sz w:val="32"/>
          <w:szCs w:val="32"/>
        </w:rPr>
        <w:t>监管考核</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确保工作成效</w:t>
      </w:r>
      <w:r>
        <w:rPr>
          <w:rFonts w:hint="eastAsia" w:ascii="楷体_GB2312" w:hAnsi="楷体_GB2312" w:eastAsia="楷体_GB2312" w:cs="楷体_GB2312"/>
          <w:b/>
          <w:bCs/>
          <w:spacing w:val="0"/>
          <w:w w:val="100"/>
          <w:sz w:val="32"/>
          <w:szCs w:val="32"/>
          <w:lang w:eastAsia="zh-CN"/>
        </w:rPr>
        <w:t>。</w:t>
      </w:r>
      <w:r>
        <w:rPr>
          <w:rFonts w:hint="eastAsia" w:ascii="仿宋_GB2312" w:hAnsi="仿宋_GB2312" w:eastAsia="仿宋_GB2312" w:cs="仿宋_GB2312"/>
          <w:spacing w:val="0"/>
          <w:w w:val="100"/>
          <w:sz w:val="32"/>
          <w:szCs w:val="32"/>
          <w:lang w:eastAsia="zh-CN"/>
        </w:rPr>
        <w:t>县</w:t>
      </w:r>
      <w:r>
        <w:rPr>
          <w:rFonts w:hint="eastAsia" w:ascii="仿宋_GB2312" w:hAnsi="仿宋_GB2312" w:eastAsia="仿宋_GB2312" w:cs="仿宋_GB2312"/>
          <w:spacing w:val="0"/>
          <w:w w:val="100"/>
          <w:sz w:val="32"/>
          <w:szCs w:val="32"/>
        </w:rPr>
        <w:t>节水型社会达标建设复核工作领导小组</w:t>
      </w:r>
      <w:r>
        <w:rPr>
          <w:rFonts w:hint="eastAsia" w:ascii="仿宋_GB2312" w:hAnsi="仿宋_GB2312" w:eastAsia="仿宋_GB2312" w:cs="仿宋_GB2312"/>
          <w:spacing w:val="0"/>
          <w:w w:val="100"/>
          <w:sz w:val="32"/>
          <w:szCs w:val="32"/>
          <w:lang w:val="en-US" w:eastAsia="zh-CN"/>
        </w:rPr>
        <w:t>办公室要</w:t>
      </w:r>
      <w:r>
        <w:rPr>
          <w:rFonts w:hint="eastAsia" w:ascii="仿宋_GB2312" w:hAnsi="仿宋_GB2312" w:eastAsia="仿宋_GB2312" w:cs="仿宋_GB2312"/>
          <w:spacing w:val="0"/>
          <w:w w:val="100"/>
          <w:sz w:val="32"/>
          <w:szCs w:val="32"/>
        </w:rPr>
        <w:t>把目标任务逐级分解到各部门，加强</w:t>
      </w:r>
      <w:r>
        <w:rPr>
          <w:rFonts w:hint="eastAsia" w:ascii="仿宋_GB2312" w:hAnsi="仿宋_GB2312" w:eastAsia="仿宋_GB2312" w:cs="仿宋_GB2312"/>
          <w:spacing w:val="0"/>
          <w:w w:val="100"/>
          <w:sz w:val="32"/>
          <w:szCs w:val="32"/>
          <w:lang w:val="en-US" w:eastAsia="zh-CN"/>
        </w:rPr>
        <w:t>技术指导和工作督导，确保工作有序推进</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督查、水利</w:t>
      </w:r>
      <w:r>
        <w:rPr>
          <w:rFonts w:hint="eastAsia" w:ascii="仿宋_GB2312" w:hAnsi="仿宋_GB2312" w:eastAsia="仿宋_GB2312" w:cs="仿宋_GB2312"/>
          <w:spacing w:val="0"/>
          <w:w w:val="100"/>
          <w:sz w:val="32"/>
          <w:szCs w:val="32"/>
          <w:lang w:val="en-US" w:eastAsia="zh-CN"/>
        </w:rPr>
        <w:t>等部门要</w:t>
      </w:r>
      <w:r>
        <w:rPr>
          <w:rFonts w:hint="eastAsia" w:ascii="仿宋_GB2312" w:hAnsi="仿宋_GB2312" w:eastAsia="仿宋_GB2312" w:cs="仿宋_GB2312"/>
          <w:spacing w:val="0"/>
          <w:w w:val="100"/>
          <w:sz w:val="32"/>
          <w:szCs w:val="32"/>
        </w:rPr>
        <w:t>成立联合督查组，</w:t>
      </w:r>
      <w:r>
        <w:rPr>
          <w:rFonts w:hint="eastAsia" w:ascii="仿宋_GB2312" w:hAnsi="仿宋_GB2312" w:eastAsia="仿宋_GB2312" w:cs="仿宋_GB2312"/>
          <w:spacing w:val="0"/>
          <w:w w:val="100"/>
          <w:sz w:val="32"/>
          <w:szCs w:val="32"/>
          <w:lang w:val="en-US" w:eastAsia="zh-CN"/>
        </w:rPr>
        <w:t>适时开展</w:t>
      </w:r>
      <w:r>
        <w:rPr>
          <w:rFonts w:hint="eastAsia" w:ascii="仿宋_GB2312" w:hAnsi="仿宋_GB2312" w:eastAsia="仿宋_GB2312" w:cs="仿宋_GB2312"/>
          <w:spacing w:val="0"/>
          <w:w w:val="100"/>
          <w:sz w:val="32"/>
          <w:szCs w:val="32"/>
        </w:rPr>
        <w:t>监督检查，</w:t>
      </w:r>
      <w:r>
        <w:rPr>
          <w:rFonts w:hint="eastAsia" w:ascii="仿宋_GB2312" w:hAnsi="仿宋_GB2312" w:eastAsia="仿宋_GB2312" w:cs="仿宋_GB2312"/>
          <w:spacing w:val="0"/>
          <w:w w:val="100"/>
          <w:sz w:val="32"/>
          <w:szCs w:val="32"/>
          <w:lang w:val="en-US" w:eastAsia="zh-CN"/>
        </w:rPr>
        <w:t>发现问题，建立清单，及时交办，跟踪整改</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同时，对工作力度大、工作成效好的通报表扬，对重视程度不够、工作推进不力的通报批评。</w:t>
      </w:r>
    </w:p>
    <w:p w14:paraId="17101AD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2" w:lineRule="exact"/>
        <w:ind w:left="0" w:leftChars="0" w:firstLine="643" w:firstLineChars="200"/>
        <w:jc w:val="both"/>
        <w:textAlignment w:val="auto"/>
        <w:rPr>
          <w:rFonts w:ascii="仿宋_GB2312" w:hAnsi="仿宋_GB2312" w:eastAsia="仿宋_GB2312" w:cs="仿宋_GB2312"/>
          <w:spacing w:val="0"/>
          <w:w w:val="100"/>
          <w:sz w:val="32"/>
          <w:szCs w:val="32"/>
        </w:rPr>
      </w:pP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四</w:t>
      </w:r>
      <w:r>
        <w:rPr>
          <w:rFonts w:hint="eastAsia" w:ascii="楷体_GB2312" w:hAnsi="楷体_GB2312" w:eastAsia="楷体_GB2312" w:cs="楷体_GB2312"/>
          <w:b/>
          <w:bCs/>
          <w:spacing w:val="0"/>
          <w:w w:val="100"/>
          <w:sz w:val="32"/>
          <w:szCs w:val="32"/>
          <w:lang w:eastAsia="zh-CN"/>
        </w:rPr>
        <w:t>）</w:t>
      </w:r>
      <w:r>
        <w:rPr>
          <w:rFonts w:hint="eastAsia" w:ascii="楷体_GB2312" w:hAnsi="楷体_GB2312" w:eastAsia="楷体_GB2312" w:cs="楷体_GB2312"/>
          <w:b/>
          <w:bCs/>
          <w:spacing w:val="0"/>
          <w:w w:val="100"/>
          <w:sz w:val="32"/>
          <w:szCs w:val="32"/>
          <w:lang w:val="en-US" w:eastAsia="zh-CN"/>
        </w:rPr>
        <w:t>强化</w:t>
      </w:r>
      <w:r>
        <w:rPr>
          <w:rFonts w:hint="eastAsia" w:ascii="楷体_GB2312" w:hAnsi="楷体_GB2312" w:eastAsia="楷体_GB2312" w:cs="楷体_GB2312"/>
          <w:b/>
          <w:bCs/>
          <w:spacing w:val="0"/>
          <w:w w:val="100"/>
          <w:sz w:val="32"/>
          <w:szCs w:val="32"/>
          <w:lang w:eastAsia="zh-CN"/>
        </w:rPr>
        <w:t>宣传教育，营造良好氛围。</w:t>
      </w:r>
      <w:r>
        <w:rPr>
          <w:rFonts w:hint="eastAsia" w:ascii="仿宋_GB2312" w:hAnsi="仿宋_GB2312" w:eastAsia="仿宋_GB2312" w:cs="仿宋_GB2312"/>
          <w:spacing w:val="0"/>
          <w:w w:val="100"/>
          <w:sz w:val="32"/>
          <w:szCs w:val="32"/>
        </w:rPr>
        <w:t>开展多种形式的节水宣传活动，普及节水知识，增强全社会的水资源忧患意识和节约保护意识。深入开展节水文化建设，把节水教育纳入国民素质教育体系，利用节水宣传教育基地，提高公众节水意识和节水技能，加强对节约资源和保护环境价值理念的传播</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凝聚全社会的力量，形成“政府带头促节水、科技创新促节水，完善政策促节水，加大投入促节水，控污减排促节水，社会参与促节水”的良好氛围。</w:t>
      </w:r>
    </w:p>
    <w:p w14:paraId="7F7A6D32">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ascii="仿宋_GB2312" w:hAnsi="仿宋_GB2312" w:eastAsia="仿宋_GB2312" w:cs="仿宋_GB2312"/>
          <w:spacing w:val="0"/>
          <w:w w:val="100"/>
          <w:sz w:val="32"/>
          <w:szCs w:val="32"/>
        </w:rPr>
      </w:pPr>
    </w:p>
    <w:p w14:paraId="1E52D37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附件：1.叶县节水型社会达标建设</w:t>
      </w:r>
      <w:r>
        <w:rPr>
          <w:rFonts w:hint="eastAsia" w:ascii="仿宋_GB2312" w:hAnsi="仿宋_GB2312" w:eastAsia="仿宋_GB2312" w:cs="仿宋_GB2312"/>
          <w:spacing w:val="0"/>
          <w:w w:val="100"/>
          <w:sz w:val="32"/>
          <w:szCs w:val="32"/>
          <w:lang w:val="en-US" w:eastAsia="zh-CN"/>
        </w:rPr>
        <w:t>复核</w:t>
      </w:r>
      <w:r>
        <w:rPr>
          <w:rFonts w:hint="eastAsia" w:ascii="仿宋_GB2312" w:hAnsi="仿宋_GB2312" w:eastAsia="仿宋_GB2312" w:cs="仿宋_GB2312"/>
          <w:spacing w:val="0"/>
          <w:w w:val="100"/>
          <w:sz w:val="32"/>
          <w:szCs w:val="32"/>
        </w:rPr>
        <w:t>工作领导小组</w:t>
      </w:r>
    </w:p>
    <w:p w14:paraId="13D97BEA">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1600" w:firstLineChars="500"/>
        <w:jc w:val="both"/>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2.节水型社会</w:t>
      </w:r>
      <w:r>
        <w:rPr>
          <w:rFonts w:hint="eastAsia" w:ascii="仿宋_GB2312" w:hAnsi="仿宋_GB2312" w:eastAsia="仿宋_GB2312" w:cs="仿宋_GB2312"/>
          <w:spacing w:val="0"/>
          <w:w w:val="100"/>
          <w:sz w:val="32"/>
          <w:szCs w:val="32"/>
          <w:lang w:val="en-US" w:eastAsia="zh-CN"/>
        </w:rPr>
        <w:t>评价赋分表</w:t>
      </w:r>
    </w:p>
    <w:p w14:paraId="7C18182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1600" w:firstLineChars="500"/>
        <w:jc w:val="both"/>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3.叶县节水型社会达标建设任务清单</w:t>
      </w:r>
    </w:p>
    <w:p w14:paraId="3BFB531B">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5A0DDDEA">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43ACC312">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2E043BBD">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757B7DAF">
      <w:pPr>
        <w:pStyle w:val="7"/>
        <w:ind w:left="0" w:leftChars="0" w:firstLine="0" w:firstLineChars="0"/>
      </w:pPr>
    </w:p>
    <w:p w14:paraId="775140B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7DD07824">
      <w:pPr>
        <w:pStyle w:val="7"/>
        <w:keepNext w:val="0"/>
        <w:keepLines w:val="0"/>
        <w:pageBreakBefore w:val="0"/>
        <w:widowControl w:val="0"/>
        <w:kinsoku/>
        <w:wordWrap/>
        <w:overflowPunct/>
        <w:topLinePunct w:val="0"/>
        <w:autoSpaceDE/>
        <w:autoSpaceDN/>
        <w:bidi w:val="0"/>
        <w:adjustRightInd/>
        <w:snapToGrid/>
        <w:spacing w:line="572" w:lineRule="exact"/>
        <w:ind w:left="0" w:leftChars="0" w:firstLine="0" w:firstLineChars="0"/>
        <w:textAlignment w:val="auto"/>
      </w:pPr>
    </w:p>
    <w:p w14:paraId="6899CA07">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4CF6C327">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ascii="仿宋_GB2312" w:hAnsi="仿宋" w:eastAsia="仿宋_GB2312" w:cs="仿宋"/>
          <w:color w:val="000000"/>
          <w:spacing w:val="0"/>
          <w:w w:val="100"/>
          <w:sz w:val="28"/>
          <w:szCs w:val="28"/>
        </w:rPr>
      </w:pPr>
    </w:p>
    <w:p w14:paraId="59239E5C">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textAlignment w:val="auto"/>
        <w:rPr>
          <w:rFonts w:hint="eastAsia" w:ascii="黑体" w:hAnsi="黑体" w:eastAsia="黑体" w:cs="黑体"/>
          <w:color w:val="000000"/>
          <w:spacing w:val="0"/>
          <w:w w:val="100"/>
          <w:sz w:val="32"/>
          <w:szCs w:val="32"/>
        </w:rPr>
      </w:pPr>
      <w:r>
        <w:rPr>
          <w:rFonts w:hint="eastAsia" w:ascii="黑体" w:hAnsi="黑体" w:eastAsia="黑体" w:cs="黑体"/>
          <w:color w:val="000000"/>
          <w:spacing w:val="0"/>
          <w:w w:val="100"/>
          <w:sz w:val="32"/>
          <w:szCs w:val="32"/>
        </w:rPr>
        <w:t>附件1</w:t>
      </w:r>
    </w:p>
    <w:p w14:paraId="20929966">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黑体" w:hAnsi="黑体" w:eastAsia="黑体" w:cs="黑体"/>
          <w:color w:val="000000"/>
          <w:spacing w:val="0"/>
          <w:w w:val="100"/>
          <w:sz w:val="44"/>
          <w:szCs w:val="44"/>
        </w:rPr>
      </w:pPr>
    </w:p>
    <w:p w14:paraId="64C3C99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rPr>
        <w:t>叶县节水型社会达标建设</w:t>
      </w:r>
      <w:r>
        <w:rPr>
          <w:rFonts w:hint="eastAsia" w:ascii="方正小标宋简体" w:hAnsi="方正小标宋简体" w:eastAsia="方正小标宋简体" w:cs="方正小标宋简体"/>
          <w:color w:val="000000"/>
          <w:spacing w:val="0"/>
          <w:w w:val="100"/>
          <w:sz w:val="44"/>
          <w:szCs w:val="44"/>
          <w:lang w:val="en-US" w:eastAsia="zh-CN"/>
        </w:rPr>
        <w:t>复核</w:t>
      </w:r>
      <w:r>
        <w:rPr>
          <w:rFonts w:hint="eastAsia" w:ascii="方正小标宋简体" w:hAnsi="方正小标宋简体" w:eastAsia="方正小标宋简体" w:cs="方正小标宋简体"/>
          <w:color w:val="000000"/>
          <w:spacing w:val="0"/>
          <w:w w:val="100"/>
          <w:sz w:val="44"/>
          <w:szCs w:val="44"/>
        </w:rPr>
        <w:t>工作</w:t>
      </w:r>
    </w:p>
    <w:p w14:paraId="7CD7736B">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rPr>
        <w:t>领</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rPr>
        <w:t>导</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rPr>
        <w:t>小</w:t>
      </w:r>
      <w:r>
        <w:rPr>
          <w:rFonts w:hint="eastAsia" w:ascii="方正小标宋简体" w:hAnsi="方正小标宋简体" w:eastAsia="方正小标宋简体" w:cs="方正小标宋简体"/>
          <w:color w:val="000000"/>
          <w:spacing w:val="0"/>
          <w:w w:val="100"/>
          <w:sz w:val="44"/>
          <w:szCs w:val="44"/>
          <w:lang w:val="en-US" w:eastAsia="zh-CN"/>
        </w:rPr>
        <w:t xml:space="preserve"> </w:t>
      </w:r>
      <w:r>
        <w:rPr>
          <w:rFonts w:hint="eastAsia" w:ascii="方正小标宋简体" w:hAnsi="方正小标宋简体" w:eastAsia="方正小标宋简体" w:cs="方正小标宋简体"/>
          <w:color w:val="000000"/>
          <w:spacing w:val="0"/>
          <w:w w:val="100"/>
          <w:sz w:val="44"/>
          <w:szCs w:val="44"/>
        </w:rPr>
        <w:t>组</w:t>
      </w:r>
    </w:p>
    <w:p w14:paraId="142A3DE7">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0" w:firstLineChars="0"/>
        <w:jc w:val="center"/>
        <w:textAlignment w:val="auto"/>
        <w:rPr>
          <w:rFonts w:ascii="仿宋_GB2312" w:hAnsi="仿宋" w:eastAsia="仿宋_GB2312" w:cs="仿宋"/>
          <w:color w:val="000000"/>
          <w:spacing w:val="0"/>
          <w:w w:val="100"/>
          <w:sz w:val="44"/>
          <w:szCs w:val="44"/>
        </w:rPr>
      </w:pPr>
    </w:p>
    <w:p w14:paraId="054BF4EA">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组  长：</w:t>
      </w:r>
      <w:r>
        <w:rPr>
          <w:rFonts w:hint="eastAsia" w:ascii="仿宋_GB2312" w:hAnsi="仿宋_GB2312" w:eastAsia="仿宋_GB2312" w:cs="仿宋_GB2312"/>
          <w:spacing w:val="0"/>
          <w:w w:val="100"/>
          <w:sz w:val="32"/>
          <w:szCs w:val="32"/>
          <w:lang w:val="en-US" w:eastAsia="zh-CN"/>
        </w:rPr>
        <w:t>王清政</w:t>
      </w:r>
      <w:r>
        <w:rPr>
          <w:rFonts w:hint="eastAsia" w:ascii="仿宋_GB2312" w:hAnsi="仿宋_GB2312" w:eastAsia="仿宋_GB2312" w:cs="仿宋_GB2312"/>
          <w:spacing w:val="0"/>
          <w:w w:val="100"/>
          <w:sz w:val="32"/>
          <w:szCs w:val="32"/>
        </w:rPr>
        <w:t>（副县长</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常村镇党委书记</w:t>
      </w:r>
      <w:r>
        <w:rPr>
          <w:rFonts w:hint="eastAsia" w:ascii="仿宋_GB2312" w:hAnsi="仿宋_GB2312" w:eastAsia="仿宋_GB2312" w:cs="仿宋_GB2312"/>
          <w:spacing w:val="0"/>
          <w:w w:val="100"/>
          <w:sz w:val="32"/>
          <w:szCs w:val="32"/>
        </w:rPr>
        <w:t>）</w:t>
      </w:r>
    </w:p>
    <w:p w14:paraId="1E50C8E2">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副组长：</w:t>
      </w:r>
      <w:r>
        <w:rPr>
          <w:rFonts w:hint="eastAsia" w:ascii="仿宋_GB2312" w:hAnsi="仿宋_GB2312" w:eastAsia="仿宋_GB2312" w:cs="仿宋_GB2312"/>
          <w:spacing w:val="0"/>
          <w:w w:val="100"/>
          <w:sz w:val="32"/>
          <w:szCs w:val="32"/>
          <w:lang w:val="en-US" w:eastAsia="zh-CN"/>
        </w:rPr>
        <w:t>王晓东</w:t>
      </w:r>
      <w:r>
        <w:rPr>
          <w:rFonts w:hint="eastAsia" w:ascii="仿宋_GB2312" w:hAnsi="仿宋_GB2312" w:eastAsia="仿宋_GB2312" w:cs="仿宋_GB2312"/>
          <w:spacing w:val="0"/>
          <w:w w:val="100"/>
          <w:sz w:val="32"/>
          <w:szCs w:val="32"/>
        </w:rPr>
        <w:t>（县水利局局长）</w:t>
      </w:r>
    </w:p>
    <w:p w14:paraId="533C9212">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hint="eastAsia" w:ascii="仿宋_GB2312" w:hAnsi="仿宋_GB2312" w:eastAsia="仿宋_GB2312" w:cs="仿宋_GB2312"/>
          <w:spacing w:val="0"/>
          <w:w w:val="100"/>
          <w:sz w:val="32"/>
          <w:szCs w:val="32"/>
          <w:lang w:val="en-US" w:eastAsia="zh-CN"/>
        </w:rPr>
      </w:pPr>
      <w:r>
        <w:rPr>
          <w:rFonts w:hint="eastAsia" w:ascii="黑体" w:hAnsi="黑体" w:eastAsia="黑体" w:cs="黑体"/>
          <w:spacing w:val="0"/>
          <w:w w:val="100"/>
          <w:sz w:val="32"/>
          <w:szCs w:val="32"/>
        </w:rPr>
        <w:t>成  员：</w:t>
      </w:r>
      <w:r>
        <w:rPr>
          <w:rFonts w:hint="eastAsia" w:ascii="仿宋_GB2312" w:hAnsi="仿宋_GB2312" w:eastAsia="仿宋_GB2312" w:cs="仿宋_GB2312"/>
          <w:spacing w:val="0"/>
          <w:w w:val="100"/>
          <w:sz w:val="32"/>
          <w:szCs w:val="32"/>
          <w:lang w:val="en-US" w:eastAsia="zh-CN"/>
        </w:rPr>
        <w:t>县督查局、</w:t>
      </w:r>
      <w:r>
        <w:rPr>
          <w:rFonts w:hint="eastAsia" w:ascii="仿宋_GB2312" w:hAnsi="仿宋_GB2312" w:eastAsia="仿宋_GB2312" w:cs="仿宋_GB2312"/>
          <w:spacing w:val="0"/>
          <w:w w:val="100"/>
          <w:sz w:val="32"/>
          <w:szCs w:val="32"/>
        </w:rPr>
        <w:t>发改委</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教体局、</w:t>
      </w:r>
      <w:r>
        <w:rPr>
          <w:rFonts w:hint="eastAsia" w:ascii="仿宋_GB2312" w:hAnsi="仿宋_GB2312" w:eastAsia="仿宋_GB2312" w:cs="仿宋_GB2312"/>
          <w:spacing w:val="0"/>
          <w:w w:val="100"/>
          <w:sz w:val="32"/>
          <w:szCs w:val="32"/>
        </w:rPr>
        <w:t>工信局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财政局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住建局、</w:t>
      </w:r>
      <w:r>
        <w:rPr>
          <w:rFonts w:hint="eastAsia" w:ascii="仿宋_GB2312" w:hAnsi="仿宋_GB2312" w:eastAsia="仿宋_GB2312" w:cs="仿宋_GB2312"/>
          <w:spacing w:val="0"/>
          <w:w w:val="100"/>
          <w:sz w:val="32"/>
          <w:szCs w:val="32"/>
        </w:rPr>
        <w:t>水利局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农业</w:t>
      </w:r>
      <w:r>
        <w:rPr>
          <w:rFonts w:hint="eastAsia" w:ascii="仿宋_GB2312" w:hAnsi="仿宋_GB2312" w:eastAsia="仿宋_GB2312" w:cs="仿宋_GB2312"/>
          <w:spacing w:val="0"/>
          <w:w w:val="100"/>
          <w:sz w:val="32"/>
          <w:szCs w:val="32"/>
          <w:lang w:val="en-US" w:eastAsia="zh-CN"/>
        </w:rPr>
        <w:t>农村</w:t>
      </w:r>
      <w:r>
        <w:rPr>
          <w:rFonts w:hint="eastAsia" w:ascii="仿宋_GB2312" w:hAnsi="仿宋_GB2312" w:eastAsia="仿宋_GB2312" w:cs="仿宋_GB2312"/>
          <w:spacing w:val="0"/>
          <w:w w:val="100"/>
          <w:sz w:val="32"/>
          <w:szCs w:val="32"/>
        </w:rPr>
        <w:t>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文化广电和旅游</w:t>
      </w:r>
      <w:r>
        <w:rPr>
          <w:rFonts w:hint="eastAsia" w:ascii="仿宋_GB2312" w:hAnsi="仿宋_GB2312" w:eastAsia="仿宋_GB2312" w:cs="仿宋_GB2312"/>
          <w:spacing w:val="0"/>
          <w:w w:val="100"/>
          <w:sz w:val="32"/>
          <w:szCs w:val="32"/>
        </w:rPr>
        <w:t>局</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color w:val="auto"/>
          <w:spacing w:val="0"/>
          <w:w w:val="100"/>
          <w:sz w:val="32"/>
          <w:szCs w:val="32"/>
          <w:lang w:val="en-US" w:eastAsia="zh-CN"/>
        </w:rPr>
        <w:t>市场监管局、</w:t>
      </w:r>
      <w:r>
        <w:rPr>
          <w:rFonts w:hint="eastAsia" w:ascii="仿宋_GB2312" w:hAnsi="仿宋_GB2312" w:eastAsia="仿宋_GB2312" w:cs="仿宋_GB2312"/>
          <w:spacing w:val="0"/>
          <w:w w:val="100"/>
          <w:sz w:val="32"/>
          <w:szCs w:val="32"/>
          <w:lang w:val="en-US" w:eastAsia="zh-CN"/>
        </w:rPr>
        <w:t>城市管理局、税务局、生态环境局、</w:t>
      </w:r>
      <w:r>
        <w:rPr>
          <w:rFonts w:hint="eastAsia" w:ascii="仿宋_GB2312" w:hAnsi="仿宋_GB2312" w:eastAsia="仿宋_GB2312" w:cs="仿宋_GB2312"/>
          <w:spacing w:val="0"/>
          <w:w w:val="100"/>
          <w:sz w:val="32"/>
          <w:szCs w:val="32"/>
        </w:rPr>
        <w:t>机关事务</w:t>
      </w:r>
      <w:r>
        <w:rPr>
          <w:rFonts w:hint="eastAsia" w:ascii="仿宋_GB2312" w:hAnsi="仿宋_GB2312" w:eastAsia="仿宋_GB2312" w:cs="仿宋_GB2312"/>
          <w:spacing w:val="0"/>
          <w:w w:val="100"/>
          <w:sz w:val="32"/>
          <w:szCs w:val="32"/>
          <w:lang w:val="en-US" w:eastAsia="zh-CN"/>
        </w:rPr>
        <w:t>中心、房产事务中心、</w:t>
      </w:r>
      <w:r>
        <w:rPr>
          <w:rFonts w:hint="eastAsia" w:ascii="仿宋_GB2312" w:hAnsi="仿宋_GB2312" w:eastAsia="仿宋_GB2312" w:cs="仿宋_GB2312"/>
          <w:spacing w:val="0"/>
          <w:w w:val="100"/>
          <w:sz w:val="32"/>
          <w:szCs w:val="32"/>
        </w:rPr>
        <w:t>国源水务公司</w:t>
      </w:r>
      <w:r>
        <w:rPr>
          <w:rFonts w:hint="eastAsia" w:ascii="仿宋_GB2312" w:hAnsi="仿宋_GB2312" w:eastAsia="仿宋_GB2312" w:cs="仿宋_GB2312"/>
          <w:spacing w:val="0"/>
          <w:w w:val="100"/>
          <w:sz w:val="32"/>
          <w:szCs w:val="32"/>
          <w:lang w:val="en-US" w:eastAsia="zh-CN"/>
        </w:rPr>
        <w:t>和各乡镇、街道分管负责同志</w:t>
      </w:r>
    </w:p>
    <w:p w14:paraId="3DA18191">
      <w:pPr>
        <w:keepNext w:val="0"/>
        <w:keepLines w:val="0"/>
        <w:pageBreakBefore w:val="0"/>
        <w:widowControl w:val="0"/>
        <w:kinsoku/>
        <w:wordWrap/>
        <w:overflowPunct/>
        <w:topLinePunct w:val="0"/>
        <w:autoSpaceDE/>
        <w:autoSpaceDN/>
        <w:bidi w:val="0"/>
        <w:adjustRightInd/>
        <w:snapToGrid/>
        <w:spacing w:beforeAutospacing="0" w:afterAutospacing="0" w:line="572" w:lineRule="exact"/>
        <w:ind w:left="0" w:leftChars="0" w:firstLine="640" w:firstLineChars="200"/>
        <w:textAlignment w:val="auto"/>
        <w:rPr>
          <w:rFonts w:hint="default" w:ascii="仿宋_GB2312" w:hAnsi="仿宋_GB2312" w:eastAsia="仿宋_GB2312" w:cs="仿宋_GB2312"/>
          <w:spacing w:val="0"/>
          <w:w w:val="100"/>
          <w:sz w:val="32"/>
          <w:szCs w:val="32"/>
          <w:lang w:val="en-US" w:eastAsia="zh-CN"/>
        </w:rPr>
        <w:sectPr>
          <w:footerReference r:id="rId3" w:type="default"/>
          <w:footerReference r:id="rId4" w:type="even"/>
          <w:pgSz w:w="11906" w:h="16838"/>
          <w:pgMar w:top="2098" w:right="1474" w:bottom="1984" w:left="1587" w:header="851" w:footer="1417" w:gutter="0"/>
          <w:paperSrc/>
          <w:pgNumType w:fmt="numberInDash"/>
          <w:cols w:space="0" w:num="1"/>
          <w:rtlGutter w:val="0"/>
          <w:docGrid w:type="lines" w:linePitch="318" w:charSpace="0"/>
        </w:sectPr>
      </w:pPr>
      <w:r>
        <w:rPr>
          <w:rFonts w:hint="eastAsia" w:ascii="仿宋_GB2312" w:hAnsi="仿宋_GB2312" w:eastAsia="仿宋_GB2312" w:cs="仿宋_GB2312"/>
          <w:spacing w:val="0"/>
          <w:w w:val="100"/>
          <w:sz w:val="32"/>
          <w:szCs w:val="32"/>
          <w:lang w:val="en-US" w:eastAsia="zh-CN"/>
        </w:rPr>
        <w:t>领导小组办公室设在县水利局，王晓东同志担任办公室主任，负责日常工作。</w:t>
      </w:r>
    </w:p>
    <w:p w14:paraId="378461A4">
      <w:pPr>
        <w:keepNext w:val="0"/>
        <w:keepLines w:val="0"/>
        <w:pageBreakBefore w:val="0"/>
        <w:widowControl/>
        <w:kinsoku/>
        <w:wordWrap/>
        <w:overflowPunct/>
        <w:topLinePunct w:val="0"/>
        <w:autoSpaceDE/>
        <w:autoSpaceDN/>
        <w:bidi w:val="0"/>
        <w:adjustRightInd w:val="0"/>
        <w:snapToGrid w:val="0"/>
        <w:spacing w:line="572" w:lineRule="exact"/>
        <w:textAlignment w:val="auto"/>
        <w:rPr>
          <w:rFonts w:hint="eastAsia" w:ascii="黑体" w:hAnsi="黑体" w:eastAsia="黑体" w:cs="黑体"/>
          <w:color w:val="000000"/>
          <w:spacing w:val="15"/>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-784860</wp:posOffset>
                </wp:positionH>
                <wp:positionV relativeFrom="paragraph">
                  <wp:posOffset>238760</wp:posOffset>
                </wp:positionV>
                <wp:extent cx="730885" cy="294005"/>
                <wp:effectExtent l="0" t="0" r="10795" b="12065"/>
                <wp:wrapNone/>
                <wp:docPr id="12" name="文本框 12"/>
                <wp:cNvGraphicFramePr/>
                <a:graphic xmlns:a="http://schemas.openxmlformats.org/drawingml/2006/main">
                  <a:graphicData uri="http://schemas.microsoft.com/office/word/2010/wordprocessingShape">
                    <wps:wsp>
                      <wps:cNvSpPr txBox="1"/>
                      <wps:spPr>
                        <a:xfrm rot="5400000">
                          <a:off x="4241165" y="6478905"/>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08F10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- 8 -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pt;margin-top:18.8pt;height:23.15pt;width:57.55pt;rotation:5898240f;z-index:251663360;mso-width-relative:page;mso-height-relative:page;" fillcolor="#FFFFFF [3201]" filled="t" stroked="f" coordsize="21600,21600" o:gfxdata="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Za4Q2wAAAAkBAAAPAAAAAAAAAAEAIAAAACIAAABkcnMvZG93bnJldi54bWxQSwEC&#10;FAAUAAAACACHTuJASPYBjGMCAACqBAAADgAAAAAAAAABACAAAAAqAQAAZHJzL2Uyb0RvYy54bWxQ&#10;SwUGAAAAAAYABgBZAQAA/wUAAAAA&#10;">
                <v:fill on="t" focussize="0,0"/>
                <v:stroke on="f" weight="0.5pt"/>
                <v:imagedata o:title=""/>
                <o:lock v:ext="edit" aspectratio="f"/>
                <v:textbox>
                  <w:txbxContent>
                    <w:p w14:paraId="2E08F10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- 8 -</w:t>
                      </w:r>
                    </w:p>
                  </w:txbxContent>
                </v:textbox>
              </v:shape>
            </w:pict>
          </mc:Fallback>
        </mc:AlternateContent>
      </w:r>
      <w:r>
        <w:rPr>
          <w:rFonts w:hint="eastAsia" w:ascii="黑体" w:hAnsi="黑体" w:eastAsia="黑体" w:cs="黑体"/>
          <w:color w:val="000000"/>
          <w:spacing w:val="15"/>
          <w:sz w:val="32"/>
          <w:szCs w:val="32"/>
        </w:rPr>
        <w:t>附件2</w:t>
      </w:r>
    </w:p>
    <w:p w14:paraId="6A187E30">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14:paraId="3F1A674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default" w:ascii="黑体" w:hAnsi="黑体" w:eastAsia="黑体" w:cs="黑体"/>
          <w:color w:val="000000"/>
          <w:spacing w:val="15"/>
          <w:sz w:val="32"/>
          <w:szCs w:val="32"/>
          <w:lang w:val="en-US" w:eastAsia="zh-CN"/>
        </w:rPr>
      </w:pPr>
      <w:r>
        <w:rPr>
          <w:rFonts w:hint="eastAsia" w:ascii="方正小标宋简体" w:hAnsi="方正小标宋简体" w:eastAsia="方正小标宋简体" w:cs="方正小标宋简体"/>
          <w:color w:val="000000"/>
          <w:spacing w:val="15"/>
          <w:sz w:val="44"/>
          <w:szCs w:val="44"/>
          <w:lang w:val="en-US" w:eastAsia="zh-CN"/>
        </w:rPr>
        <w:t>节水型社会评价赋分表</w:t>
      </w:r>
    </w:p>
    <w:tbl>
      <w:tblPr>
        <w:tblStyle w:val="11"/>
        <w:tblW w:w="14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16"/>
        <w:gridCol w:w="3423"/>
        <w:gridCol w:w="6442"/>
        <w:gridCol w:w="690"/>
        <w:gridCol w:w="1607"/>
      </w:tblGrid>
      <w:tr w14:paraId="55338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blHeader/>
          <w:jc w:val="center"/>
        </w:trPr>
        <w:tc>
          <w:tcPr>
            <w:tcW w:w="768" w:type="dxa"/>
            <w:vAlign w:val="center"/>
          </w:tcPr>
          <w:p w14:paraId="53A0B05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rPr>
            </w:pPr>
            <w:r>
              <w:rPr>
                <w:rFonts w:hint="eastAsia" w:ascii="黑体" w:hAnsi="黑体" w:eastAsia="黑体" w:cs="黑体"/>
                <w:b w:val="0"/>
                <w:bCs/>
                <w:sz w:val="21"/>
                <w:szCs w:val="21"/>
              </w:rPr>
              <w:t>序号</w:t>
            </w:r>
          </w:p>
        </w:tc>
        <w:tc>
          <w:tcPr>
            <w:tcW w:w="1516" w:type="dxa"/>
            <w:vAlign w:val="center"/>
          </w:tcPr>
          <w:p w14:paraId="341DFB2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评价指标</w:t>
            </w:r>
          </w:p>
        </w:tc>
        <w:tc>
          <w:tcPr>
            <w:tcW w:w="3423" w:type="dxa"/>
            <w:vAlign w:val="center"/>
          </w:tcPr>
          <w:p w14:paraId="1ABECE0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评  价  内  容</w:t>
            </w:r>
          </w:p>
        </w:tc>
        <w:tc>
          <w:tcPr>
            <w:tcW w:w="6442" w:type="dxa"/>
            <w:vAlign w:val="center"/>
          </w:tcPr>
          <w:p w14:paraId="73BBD8AD">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赋  分  标  准</w:t>
            </w:r>
          </w:p>
        </w:tc>
        <w:tc>
          <w:tcPr>
            <w:tcW w:w="690" w:type="dxa"/>
            <w:vAlign w:val="center"/>
          </w:tcPr>
          <w:p w14:paraId="3DF2BD4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lang w:eastAsia="zh-CN"/>
              </w:rPr>
            </w:pPr>
            <w:r>
              <w:rPr>
                <w:rFonts w:hint="eastAsia" w:ascii="黑体" w:hAnsi="黑体" w:eastAsia="黑体" w:cs="黑体"/>
                <w:b w:val="0"/>
                <w:bCs/>
                <w:sz w:val="21"/>
                <w:szCs w:val="21"/>
                <w:lang w:val="en-US" w:eastAsia="zh-CN"/>
              </w:rPr>
              <w:t>分数</w:t>
            </w:r>
          </w:p>
        </w:tc>
        <w:tc>
          <w:tcPr>
            <w:tcW w:w="1607" w:type="dxa"/>
            <w:vAlign w:val="center"/>
          </w:tcPr>
          <w:p w14:paraId="4FA9A4E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黑体" w:hAnsi="黑体" w:eastAsia="黑体" w:cs="黑体"/>
                <w:b w:val="0"/>
                <w:bCs/>
                <w:sz w:val="21"/>
                <w:szCs w:val="21"/>
                <w:lang w:val="en-US" w:eastAsia="zh-CN"/>
              </w:rPr>
            </w:pPr>
            <w:r>
              <w:rPr>
                <w:rFonts w:hint="eastAsia" w:ascii="黑体" w:hAnsi="黑体" w:eastAsia="黑体" w:cs="黑体"/>
                <w:b w:val="0"/>
                <w:bCs/>
                <w:sz w:val="21"/>
                <w:szCs w:val="21"/>
                <w:lang w:val="en-US" w:eastAsia="zh-CN"/>
              </w:rPr>
              <w:t>责任单位</w:t>
            </w:r>
          </w:p>
        </w:tc>
      </w:tr>
      <w:tr w14:paraId="59CA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8" w:type="dxa"/>
            <w:vAlign w:val="center"/>
          </w:tcPr>
          <w:p w14:paraId="25DBEF6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516" w:type="dxa"/>
            <w:vAlign w:val="center"/>
          </w:tcPr>
          <w:p w14:paraId="7543A16B">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用水定额管理</w:t>
            </w:r>
          </w:p>
        </w:tc>
        <w:tc>
          <w:tcPr>
            <w:tcW w:w="3423" w:type="dxa"/>
            <w:vAlign w:val="center"/>
          </w:tcPr>
          <w:p w14:paraId="4DFF1BAE">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严格各行业用水定额管理，强化定额使用</w:t>
            </w:r>
          </w:p>
        </w:tc>
        <w:tc>
          <w:tcPr>
            <w:tcW w:w="6442" w:type="dxa"/>
            <w:vAlign w:val="center"/>
          </w:tcPr>
          <w:p w14:paraId="596CFDD0">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在水资源论证、节水评价、取水许可、计划用水、节水载体认定等工作中符合用水定额管理规定的，得8分；</w:t>
            </w:r>
          </w:p>
          <w:p w14:paraId="1D42E235">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发现（指在复核评估、评价年监督检查中发现，下同）一例不符合用水定额管理规定的，扣1分，扣完为止</w:t>
            </w:r>
          </w:p>
        </w:tc>
        <w:tc>
          <w:tcPr>
            <w:tcW w:w="690" w:type="dxa"/>
            <w:vAlign w:val="center"/>
          </w:tcPr>
          <w:p w14:paraId="2C3BA8FA">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607" w:type="dxa"/>
            <w:vAlign w:val="center"/>
          </w:tcPr>
          <w:p w14:paraId="232D4E5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tc>
      </w:tr>
      <w:tr w14:paraId="398B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68" w:type="dxa"/>
            <w:vAlign w:val="center"/>
          </w:tcPr>
          <w:p w14:paraId="4353862B">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516" w:type="dxa"/>
            <w:vAlign w:val="center"/>
          </w:tcPr>
          <w:p w14:paraId="0B027AF5">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计划用水管理</w:t>
            </w:r>
          </w:p>
        </w:tc>
        <w:tc>
          <w:tcPr>
            <w:tcW w:w="3423" w:type="dxa"/>
            <w:vAlign w:val="center"/>
          </w:tcPr>
          <w:p w14:paraId="65D1A23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6"/>
                <w:sz w:val="21"/>
                <w:szCs w:val="21"/>
              </w:rPr>
              <w:t>严格计划用水管理，推动</w:t>
            </w:r>
            <w:r>
              <w:rPr>
                <w:rFonts w:hint="eastAsia" w:ascii="宋体" w:hAnsi="宋体" w:eastAsia="宋体" w:cs="宋体"/>
                <w:spacing w:val="-2"/>
                <w:sz w:val="21"/>
                <w:szCs w:val="21"/>
              </w:rPr>
              <w:t>计划用水管理全覆盖</w:t>
            </w:r>
          </w:p>
        </w:tc>
        <w:tc>
          <w:tcPr>
            <w:tcW w:w="6442" w:type="dxa"/>
            <w:vAlign w:val="center"/>
          </w:tcPr>
          <w:p w14:paraId="10452ECB">
            <w:pPr>
              <w:pStyle w:val="21"/>
              <w:keepNext w:val="0"/>
              <w:keepLines w:val="0"/>
              <w:pageBreakBefore w:val="0"/>
              <w:widowControl w:val="0"/>
              <w:kinsoku/>
              <w:wordWrap/>
              <w:overflowPunct/>
              <w:topLinePunct w:val="0"/>
              <w:autoSpaceDE/>
              <w:autoSpaceDN/>
              <w:bidi w:val="0"/>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纳入计划用水管理的用水单位数量占应纳入计划用水管理的用水单位数量比例达到100%，得8分；每低2%，扣1分，扣完为止；</w:t>
            </w:r>
          </w:p>
          <w:p w14:paraId="0A8E6B50">
            <w:pPr>
              <w:pStyle w:val="21"/>
              <w:keepNext w:val="0"/>
              <w:keepLines w:val="0"/>
              <w:pageBreakBefore w:val="0"/>
              <w:widowControl w:val="0"/>
              <w:kinsoku/>
              <w:wordWrap/>
              <w:overflowPunct/>
              <w:topLinePunct w:val="0"/>
              <w:autoSpaceDE/>
              <w:autoSpaceDN/>
              <w:bidi w:val="0"/>
              <w:spacing w:line="360" w:lineRule="exact"/>
              <w:ind w:left="0" w:right="0" w:firstLine="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发现一例计划用水管理不规范的，扣1分，扣完为止</w:t>
            </w:r>
          </w:p>
        </w:tc>
        <w:tc>
          <w:tcPr>
            <w:tcW w:w="690" w:type="dxa"/>
            <w:vAlign w:val="center"/>
          </w:tcPr>
          <w:p w14:paraId="4462B98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607" w:type="dxa"/>
            <w:vAlign w:val="center"/>
          </w:tcPr>
          <w:p w14:paraId="386360E9">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tc>
      </w:tr>
      <w:tr w14:paraId="56E2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68" w:type="dxa"/>
            <w:vMerge w:val="restart"/>
            <w:vAlign w:val="center"/>
          </w:tcPr>
          <w:p w14:paraId="7DD9BB85">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1516" w:type="dxa"/>
            <w:vMerge w:val="restart"/>
            <w:vAlign w:val="center"/>
          </w:tcPr>
          <w:p w14:paraId="3B51D693">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用水计量</w:t>
            </w:r>
          </w:p>
        </w:tc>
        <w:tc>
          <w:tcPr>
            <w:tcW w:w="3423" w:type="dxa"/>
            <w:vAlign w:val="center"/>
          </w:tcPr>
          <w:p w14:paraId="269C806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1"/>
                <w:sz w:val="21"/>
                <w:szCs w:val="21"/>
              </w:rPr>
              <w:t>完善农业灌溉用水监测</w:t>
            </w:r>
            <w:r>
              <w:rPr>
                <w:rFonts w:hint="eastAsia" w:ascii="宋体" w:hAnsi="宋体" w:eastAsia="宋体" w:cs="宋体"/>
                <w:spacing w:val="3"/>
                <w:sz w:val="21"/>
                <w:szCs w:val="21"/>
              </w:rPr>
              <w:t>计量体系</w:t>
            </w:r>
          </w:p>
        </w:tc>
        <w:tc>
          <w:tcPr>
            <w:tcW w:w="6442" w:type="dxa"/>
            <w:vAlign w:val="center"/>
          </w:tcPr>
          <w:p w14:paraId="0E360737">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北方地区</w:t>
            </w:r>
            <w:r>
              <w:rPr>
                <w:rFonts w:hint="eastAsia" w:ascii="宋体" w:hAnsi="宋体" w:eastAsia="宋体" w:cs="宋体"/>
                <w:b w:val="0"/>
                <w:bCs w:val="0"/>
                <w:kern w:val="2"/>
                <w:sz w:val="21"/>
                <w:szCs w:val="21"/>
                <w:vertAlign w:val="superscript"/>
                <w:lang w:val="en-US" w:eastAsia="zh-CN" w:bidi="ar-SA"/>
              </w:rPr>
              <w:t>[3]：</w:t>
            </w:r>
            <w:r>
              <w:rPr>
                <w:rFonts w:hint="eastAsia" w:ascii="宋体" w:hAnsi="宋体" w:eastAsia="宋体" w:cs="宋体"/>
                <w:kern w:val="2"/>
                <w:sz w:val="21"/>
                <w:szCs w:val="21"/>
                <w:lang w:val="en-US" w:eastAsia="zh-CN" w:bidi="ar-SA"/>
              </w:rPr>
              <w:t>农业灌溉用水计量率</w:t>
            </w:r>
            <w:r>
              <w:rPr>
                <w:rFonts w:hint="eastAsia" w:ascii="宋体" w:hAnsi="宋体" w:eastAsia="宋体" w:cs="宋体"/>
                <w:b w:val="0"/>
                <w:bCs w:val="0"/>
                <w:kern w:val="2"/>
                <w:sz w:val="21"/>
                <w:szCs w:val="21"/>
                <w:vertAlign w:val="superscript"/>
                <w:lang w:val="en-US" w:eastAsia="zh-CN" w:bidi="ar-SA"/>
              </w:rPr>
              <w:t>[4]</w:t>
            </w:r>
            <w:r>
              <w:rPr>
                <w:rFonts w:hint="eastAsia" w:ascii="宋体" w:hAnsi="宋体" w:eastAsia="宋体" w:cs="宋体"/>
                <w:kern w:val="2"/>
                <w:sz w:val="21"/>
                <w:szCs w:val="21"/>
                <w:lang w:val="en-US" w:eastAsia="zh-CN" w:bidi="ar-SA"/>
              </w:rPr>
              <w:t>≥80%。得4分；每低3%，扣1分，扣完为止；</w:t>
            </w:r>
          </w:p>
          <w:p w14:paraId="6AE88D11">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南方地区</w:t>
            </w:r>
            <w:r>
              <w:rPr>
                <w:rFonts w:hint="eastAsia" w:ascii="宋体" w:hAnsi="宋体" w:eastAsia="宋体" w:cs="宋体"/>
                <w:kern w:val="2"/>
                <w:sz w:val="21"/>
                <w:szCs w:val="21"/>
                <w:vertAlign w:val="superscript"/>
                <w:lang w:val="en-US" w:eastAsia="zh-CN" w:bidi="ar-SA"/>
              </w:rPr>
              <w:t>[3]：</w:t>
            </w:r>
            <w:r>
              <w:rPr>
                <w:rFonts w:hint="eastAsia" w:ascii="宋体" w:hAnsi="宋体" w:eastAsia="宋体" w:cs="宋体"/>
                <w:kern w:val="2"/>
                <w:sz w:val="21"/>
                <w:szCs w:val="21"/>
                <w:lang w:val="en-US" w:eastAsia="zh-CN" w:bidi="ar-SA"/>
              </w:rPr>
              <w:t>农业灌溉用水计量率≥60%，得4分；每低3%，扣1分，扣完为止；</w:t>
            </w:r>
          </w:p>
          <w:p w14:paraId="20CB0949">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发现大中型灌区渠首和干支渠口门没有实现取水计量的，每处灌区扣1分，扣完为止；</w:t>
            </w:r>
          </w:p>
          <w:p w14:paraId="1536A59A">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发现有5万亩以上的中大型灌区渠首取水口未实现在线计量的，每处灌区扣1分，扣完为止</w:t>
            </w:r>
          </w:p>
        </w:tc>
        <w:tc>
          <w:tcPr>
            <w:tcW w:w="690" w:type="dxa"/>
            <w:vAlign w:val="center"/>
          </w:tcPr>
          <w:p w14:paraId="7FB3F65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restart"/>
            <w:vAlign w:val="center"/>
          </w:tcPr>
          <w:p w14:paraId="3CEA89C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农业农村局</w:t>
            </w:r>
          </w:p>
          <w:p w14:paraId="482CD419">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p w14:paraId="7C4532F2">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工信局</w:t>
            </w:r>
          </w:p>
        </w:tc>
      </w:tr>
      <w:tr w14:paraId="2285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68" w:type="dxa"/>
            <w:vMerge w:val="continue"/>
            <w:vAlign w:val="center"/>
          </w:tcPr>
          <w:p w14:paraId="704DC16E">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p>
        </w:tc>
        <w:tc>
          <w:tcPr>
            <w:tcW w:w="1516" w:type="dxa"/>
            <w:vMerge w:val="continue"/>
            <w:vAlign w:val="center"/>
          </w:tcPr>
          <w:p w14:paraId="52DC61AF">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p>
        </w:tc>
        <w:tc>
          <w:tcPr>
            <w:tcW w:w="3423" w:type="dxa"/>
            <w:vAlign w:val="center"/>
          </w:tcPr>
          <w:p w14:paraId="01D46997">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spacing w:val="-1"/>
                <w:sz w:val="21"/>
                <w:szCs w:val="21"/>
              </w:rPr>
              <w:t>完善工业用水监测计量</w:t>
            </w:r>
            <w:r>
              <w:rPr>
                <w:rFonts w:hint="eastAsia" w:ascii="宋体" w:hAnsi="宋体" w:eastAsia="宋体" w:cs="宋体"/>
                <w:spacing w:val="7"/>
                <w:sz w:val="21"/>
                <w:szCs w:val="21"/>
              </w:rPr>
              <w:t>体系</w:t>
            </w:r>
          </w:p>
        </w:tc>
        <w:tc>
          <w:tcPr>
            <w:tcW w:w="6442" w:type="dxa"/>
            <w:vAlign w:val="center"/>
          </w:tcPr>
          <w:p w14:paraId="6BB7B41C">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工业用水计量率</w:t>
            </w:r>
            <w:r>
              <w:rPr>
                <w:rFonts w:hint="eastAsia" w:ascii="宋体" w:hAnsi="宋体" w:eastAsia="宋体" w:cs="宋体"/>
                <w:kern w:val="2"/>
                <w:sz w:val="21"/>
                <w:szCs w:val="21"/>
                <w:vertAlign w:val="superscript"/>
                <w:lang w:val="en-US" w:eastAsia="zh-CN" w:bidi="ar-SA"/>
              </w:rPr>
              <w:t>[5]</w:t>
            </w:r>
            <w:r>
              <w:rPr>
                <w:rFonts w:hint="eastAsia" w:ascii="宋体" w:hAnsi="宋体" w:eastAsia="宋体" w:cs="宋体"/>
                <w:kern w:val="2"/>
                <w:sz w:val="21"/>
                <w:szCs w:val="21"/>
                <w:lang w:val="en-US" w:eastAsia="zh-CN" w:bidi="ar-SA"/>
              </w:rPr>
              <w:t>为100%，得4分；每低2%，扣1分，扣完为止；</w:t>
            </w:r>
          </w:p>
          <w:p w14:paraId="6217C9CA">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发现一例工业用水计量不符合要求的，扣1分，扣完为止；</w:t>
            </w:r>
          </w:p>
          <w:p w14:paraId="05DF7318">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发现有国家、省、市三级重点监控工业企业用水户用水计量率未达到100%的，本项不得分</w:t>
            </w:r>
          </w:p>
        </w:tc>
        <w:tc>
          <w:tcPr>
            <w:tcW w:w="690" w:type="dxa"/>
            <w:vAlign w:val="center"/>
          </w:tcPr>
          <w:p w14:paraId="12F6C6A9">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continue"/>
            <w:vAlign w:val="center"/>
          </w:tcPr>
          <w:p w14:paraId="53BF02C7">
            <w:pPr>
              <w:keepNext w:val="0"/>
              <w:keepLines w:val="0"/>
              <w:pageBreakBefore w:val="0"/>
              <w:widowControl w:val="0"/>
              <w:kinsoku/>
              <w:wordWrap/>
              <w:overflowPunct/>
              <w:topLinePunct w:val="0"/>
              <w:autoSpaceDE/>
              <w:autoSpaceDN/>
              <w:bidi w:val="0"/>
              <w:spacing w:line="360" w:lineRule="exact"/>
              <w:ind w:left="0" w:right="0" w:firstLine="0" w:firstLineChars="0"/>
              <w:textAlignment w:val="auto"/>
              <w:rPr>
                <w:rFonts w:hint="eastAsia" w:ascii="宋体" w:hAnsi="宋体" w:eastAsia="宋体" w:cs="宋体"/>
                <w:sz w:val="21"/>
                <w:szCs w:val="21"/>
              </w:rPr>
            </w:pPr>
          </w:p>
        </w:tc>
      </w:tr>
      <w:tr w14:paraId="63B65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68" w:type="dxa"/>
            <w:vMerge w:val="restart"/>
            <w:vAlign w:val="center"/>
          </w:tcPr>
          <w:p w14:paraId="6C7A1B1F">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516" w:type="dxa"/>
            <w:vMerge w:val="restart"/>
            <w:vAlign w:val="center"/>
          </w:tcPr>
          <w:p w14:paraId="08BB5215">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水价机制</w:t>
            </w:r>
          </w:p>
        </w:tc>
        <w:tc>
          <w:tcPr>
            <w:tcW w:w="3423" w:type="dxa"/>
            <w:vAlign w:val="center"/>
          </w:tcPr>
          <w:p w14:paraId="78555335">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推进农业水价综合改革，建立健全农业水价形成机制，</w:t>
            </w:r>
            <w:r>
              <w:rPr>
                <w:rFonts w:hint="eastAsia" w:ascii="宋体" w:hAnsi="宋体" w:eastAsia="宋体" w:cs="宋体"/>
                <w:sz w:val="21"/>
                <w:szCs w:val="21"/>
                <w:lang w:val="en-US" w:eastAsia="zh-CN"/>
              </w:rPr>
              <w:t>和</w:t>
            </w:r>
            <w:r>
              <w:rPr>
                <w:rFonts w:hint="eastAsia" w:ascii="宋体" w:hAnsi="宋体" w:eastAsia="宋体" w:cs="宋体"/>
                <w:sz w:val="21"/>
                <w:szCs w:val="21"/>
              </w:rPr>
              <w:t>农业用水精准补贴机制</w:t>
            </w:r>
          </w:p>
        </w:tc>
        <w:tc>
          <w:tcPr>
            <w:tcW w:w="6442" w:type="dxa"/>
            <w:vAlign w:val="center"/>
          </w:tcPr>
          <w:p w14:paraId="4580280A">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农业水价综合改革实际实施面积</w:t>
            </w:r>
            <w:r>
              <w:rPr>
                <w:rFonts w:hint="eastAsia" w:ascii="宋体" w:hAnsi="宋体" w:eastAsia="宋体" w:cs="宋体"/>
                <w:kern w:val="2"/>
                <w:sz w:val="21"/>
                <w:szCs w:val="21"/>
                <w:vertAlign w:val="superscript"/>
                <w:lang w:val="en-US" w:eastAsia="zh-CN" w:bidi="ar-SA"/>
              </w:rPr>
              <w:t>[6]</w:t>
            </w:r>
            <w:r>
              <w:rPr>
                <w:rFonts w:hint="eastAsia" w:ascii="宋体" w:hAnsi="宋体" w:eastAsia="宋体" w:cs="宋体"/>
                <w:kern w:val="2"/>
                <w:sz w:val="21"/>
                <w:szCs w:val="21"/>
                <w:lang w:val="en-US" w:eastAsia="zh-CN" w:bidi="ar-SA"/>
              </w:rPr>
              <w:t>占全县灌溉面积比例达到80%的，得2分；每低1%，扣0.1分，扣完为止；</w:t>
            </w:r>
          </w:p>
          <w:p w14:paraId="009D19CA">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印发农业水价综合改革精准补贴办法的，得1分；</w:t>
            </w:r>
          </w:p>
          <w:p w14:paraId="6FAA9444">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财政落实农业水价综合改革精准补贴资金的，得1分</w:t>
            </w:r>
          </w:p>
        </w:tc>
        <w:tc>
          <w:tcPr>
            <w:tcW w:w="690" w:type="dxa"/>
            <w:vAlign w:val="center"/>
          </w:tcPr>
          <w:p w14:paraId="5A2F025F">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restart"/>
            <w:vAlign w:val="center"/>
          </w:tcPr>
          <w:p w14:paraId="406BBDA2">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发改委</w:t>
            </w:r>
          </w:p>
          <w:p w14:paraId="5DF7BEB2">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财政局</w:t>
            </w:r>
          </w:p>
          <w:p w14:paraId="22F244E6">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农业农村局</w:t>
            </w:r>
          </w:p>
          <w:p w14:paraId="1D4044A5">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税务</w:t>
            </w:r>
            <w:r>
              <w:rPr>
                <w:rFonts w:hint="eastAsia" w:ascii="宋体" w:hAnsi="宋体" w:eastAsia="宋体" w:cs="宋体"/>
                <w:sz w:val="21"/>
                <w:szCs w:val="21"/>
              </w:rPr>
              <w:t>局</w:t>
            </w:r>
          </w:p>
          <w:p w14:paraId="5DBA01C3">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住建局</w:t>
            </w:r>
          </w:p>
          <w:p w14:paraId="552268B8">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p w14:paraId="68C44B59">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国源水务公司</w:t>
            </w:r>
          </w:p>
        </w:tc>
      </w:tr>
      <w:tr w14:paraId="411D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8" w:type="dxa"/>
            <w:vMerge w:val="continue"/>
            <w:vAlign w:val="center"/>
          </w:tcPr>
          <w:p w14:paraId="3D1863C2">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1DFCF08F">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45492582">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z w:val="21"/>
                <w:szCs w:val="21"/>
              </w:rPr>
              <w:t>实行</w:t>
            </w:r>
            <w:r>
              <w:rPr>
                <w:rFonts w:hint="eastAsia" w:ascii="宋体" w:hAnsi="宋体" w:eastAsia="宋体" w:cs="宋体"/>
                <w:sz w:val="21"/>
                <w:szCs w:val="21"/>
                <w:lang w:val="en-US" w:eastAsia="zh-CN"/>
              </w:rPr>
              <w:t>城镇</w:t>
            </w:r>
            <w:r>
              <w:rPr>
                <w:rFonts w:hint="eastAsia" w:ascii="宋体" w:hAnsi="宋体" w:eastAsia="宋体" w:cs="宋体"/>
                <w:sz w:val="21"/>
                <w:szCs w:val="21"/>
              </w:rPr>
              <w:t>居民用水阶梯水价制度</w:t>
            </w:r>
          </w:p>
        </w:tc>
        <w:tc>
          <w:tcPr>
            <w:tcW w:w="6442" w:type="dxa"/>
            <w:vAlign w:val="center"/>
          </w:tcPr>
          <w:p w14:paraId="5F147A7F">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实行城镇居民生活用水阶梯水价制度，得4分；</w:t>
            </w:r>
          </w:p>
          <w:p w14:paraId="01A1A19F">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发现一项制度未有效落实的，扣1分，扣完为止</w:t>
            </w:r>
          </w:p>
        </w:tc>
        <w:tc>
          <w:tcPr>
            <w:tcW w:w="690" w:type="dxa"/>
            <w:vAlign w:val="center"/>
          </w:tcPr>
          <w:p w14:paraId="4143458A">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continue"/>
            <w:vAlign w:val="center"/>
          </w:tcPr>
          <w:p w14:paraId="44DB1CFD">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r>
      <w:tr w14:paraId="2B063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68" w:type="dxa"/>
            <w:vMerge w:val="continue"/>
            <w:vAlign w:val="center"/>
          </w:tcPr>
          <w:p w14:paraId="195AC7DA">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6E3D3D64">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58E8C73C">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1"/>
                <w:sz w:val="21"/>
                <w:szCs w:val="21"/>
              </w:rPr>
              <w:t>推进农村供水工程水费收</w:t>
            </w:r>
            <w:r>
              <w:rPr>
                <w:rFonts w:hint="eastAsia" w:ascii="宋体" w:hAnsi="宋体" w:eastAsia="宋体" w:cs="宋体"/>
                <w:sz w:val="21"/>
                <w:szCs w:val="21"/>
              </w:rPr>
              <w:t>缴</w:t>
            </w:r>
          </w:p>
        </w:tc>
        <w:tc>
          <w:tcPr>
            <w:tcW w:w="6442" w:type="dxa"/>
            <w:vAlign w:val="center"/>
          </w:tcPr>
          <w:p w14:paraId="751B86BC">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农村集中供水工程水费收缴率≥90%，得4分；每低1%</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扣0.2分，扣完为止</w:t>
            </w:r>
          </w:p>
        </w:tc>
        <w:tc>
          <w:tcPr>
            <w:tcW w:w="690" w:type="dxa"/>
            <w:vAlign w:val="center"/>
          </w:tcPr>
          <w:p w14:paraId="4DF05A36">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607" w:type="dxa"/>
            <w:vMerge w:val="continue"/>
            <w:vAlign w:val="center"/>
          </w:tcPr>
          <w:p w14:paraId="68753EA4">
            <w:pPr>
              <w:keepNext w:val="0"/>
              <w:keepLines w:val="0"/>
              <w:pageBreakBefore w:val="0"/>
              <w:widowControl w:val="0"/>
              <w:kinsoku/>
              <w:wordWrap/>
              <w:overflowPunct/>
              <w:topLinePunct w:val="0"/>
              <w:autoSpaceDE/>
              <w:autoSpaceDN/>
              <w:bidi w:val="0"/>
              <w:spacing w:line="460" w:lineRule="exact"/>
              <w:ind w:left="0" w:right="0" w:firstLine="0" w:firstLineChars="0"/>
              <w:textAlignment w:val="auto"/>
              <w:rPr>
                <w:rFonts w:hint="eastAsia" w:ascii="宋体" w:hAnsi="宋体" w:eastAsia="宋体" w:cs="宋体"/>
                <w:sz w:val="21"/>
                <w:szCs w:val="21"/>
              </w:rPr>
            </w:pPr>
          </w:p>
        </w:tc>
      </w:tr>
      <w:tr w14:paraId="149E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68" w:type="dxa"/>
            <w:vMerge w:val="continue"/>
            <w:vAlign w:val="center"/>
          </w:tcPr>
          <w:p w14:paraId="7E8F4E66">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58A7B96B">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32CA887F">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实行非居民用水超计划超定额累进加价制度</w:t>
            </w:r>
          </w:p>
        </w:tc>
        <w:tc>
          <w:tcPr>
            <w:tcW w:w="6442" w:type="dxa"/>
            <w:vAlign w:val="center"/>
          </w:tcPr>
          <w:p w14:paraId="3B1DB80E">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实行非居民用水超计划超定额累进加价制度，得4分；</w:t>
            </w:r>
          </w:p>
          <w:p w14:paraId="755EE847">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发现一项制度未有效落实的，扣1分，扣完为止</w:t>
            </w:r>
          </w:p>
        </w:tc>
        <w:tc>
          <w:tcPr>
            <w:tcW w:w="690" w:type="dxa"/>
            <w:vAlign w:val="center"/>
          </w:tcPr>
          <w:p w14:paraId="5F9F2699">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continue"/>
            <w:vAlign w:val="center"/>
          </w:tcPr>
          <w:p w14:paraId="19BB5266">
            <w:pPr>
              <w:keepNext w:val="0"/>
              <w:keepLines w:val="0"/>
              <w:pageBreakBefore w:val="0"/>
              <w:widowControl w:val="0"/>
              <w:kinsoku/>
              <w:wordWrap/>
              <w:overflowPunct/>
              <w:topLinePunct w:val="0"/>
              <w:autoSpaceDE/>
              <w:autoSpaceDN/>
              <w:bidi w:val="0"/>
              <w:spacing w:line="460" w:lineRule="exact"/>
              <w:ind w:left="0" w:right="0" w:firstLine="0" w:firstLineChars="0"/>
              <w:textAlignment w:val="auto"/>
              <w:rPr>
                <w:rFonts w:hint="eastAsia" w:ascii="宋体" w:hAnsi="宋体" w:eastAsia="宋体" w:cs="宋体"/>
                <w:sz w:val="21"/>
                <w:szCs w:val="21"/>
              </w:rPr>
            </w:pPr>
          </w:p>
        </w:tc>
      </w:tr>
      <w:tr w14:paraId="724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68" w:type="dxa"/>
            <w:vMerge w:val="continue"/>
            <w:vAlign w:val="center"/>
          </w:tcPr>
          <w:p w14:paraId="252043E5">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3A26C9F4">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4C15BB5A">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水资源税（费）征缴</w:t>
            </w:r>
          </w:p>
        </w:tc>
        <w:tc>
          <w:tcPr>
            <w:tcW w:w="6442" w:type="dxa"/>
            <w:vAlign w:val="center"/>
          </w:tcPr>
          <w:p w14:paraId="692110CE">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按标准足额征缴水资源税（费）</w:t>
            </w:r>
            <w:r>
              <w:rPr>
                <w:rFonts w:hint="eastAsia" w:ascii="宋体" w:hAnsi="宋体" w:eastAsia="宋体" w:cs="宋体"/>
                <w:kern w:val="2"/>
                <w:sz w:val="21"/>
                <w:szCs w:val="21"/>
                <w:vertAlign w:val="superscript"/>
                <w:lang w:val="en-US" w:eastAsia="zh-CN" w:bidi="ar-SA"/>
              </w:rPr>
              <w:t>[7]，</w:t>
            </w:r>
            <w:r>
              <w:rPr>
                <w:rFonts w:hint="eastAsia" w:ascii="宋体" w:hAnsi="宋体" w:eastAsia="宋体" w:cs="宋体"/>
                <w:kern w:val="2"/>
                <w:sz w:val="21"/>
                <w:szCs w:val="21"/>
                <w:lang w:val="en-US" w:eastAsia="zh-CN" w:bidi="ar-SA"/>
              </w:rPr>
              <w:t>得4分；</w:t>
            </w:r>
          </w:p>
          <w:p w14:paraId="4D6EE534">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发现一例未足额征缴，且未采取催缴措施的，扣1分，扣完为止</w:t>
            </w:r>
          </w:p>
        </w:tc>
        <w:tc>
          <w:tcPr>
            <w:tcW w:w="690" w:type="dxa"/>
            <w:vAlign w:val="center"/>
          </w:tcPr>
          <w:p w14:paraId="4B78AED8">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07" w:type="dxa"/>
            <w:vMerge w:val="continue"/>
            <w:vAlign w:val="center"/>
          </w:tcPr>
          <w:p w14:paraId="3DA5DA22">
            <w:pPr>
              <w:keepNext w:val="0"/>
              <w:keepLines w:val="0"/>
              <w:pageBreakBefore w:val="0"/>
              <w:widowControl w:val="0"/>
              <w:kinsoku/>
              <w:wordWrap/>
              <w:overflowPunct/>
              <w:topLinePunct w:val="0"/>
              <w:autoSpaceDE/>
              <w:autoSpaceDN/>
              <w:bidi w:val="0"/>
              <w:spacing w:line="460" w:lineRule="exact"/>
              <w:ind w:left="0" w:right="0" w:firstLine="0" w:firstLineChars="0"/>
              <w:textAlignment w:val="auto"/>
              <w:rPr>
                <w:rFonts w:hint="eastAsia" w:ascii="宋体" w:hAnsi="宋体" w:eastAsia="宋体" w:cs="宋体"/>
                <w:sz w:val="21"/>
                <w:szCs w:val="21"/>
              </w:rPr>
            </w:pPr>
          </w:p>
        </w:tc>
      </w:tr>
      <w:tr w14:paraId="6320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68" w:type="dxa"/>
            <w:vAlign w:val="center"/>
          </w:tcPr>
          <w:p w14:paraId="71254BC6">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6" w:type="dxa"/>
            <w:vAlign w:val="center"/>
          </w:tcPr>
          <w:p w14:paraId="063B2B88">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节水评价</w:t>
            </w:r>
          </w:p>
        </w:tc>
        <w:tc>
          <w:tcPr>
            <w:tcW w:w="3423" w:type="dxa"/>
            <w:vAlign w:val="center"/>
          </w:tcPr>
          <w:p w14:paraId="00B1E120">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节水评价制度落实情况</w:t>
            </w:r>
          </w:p>
        </w:tc>
        <w:tc>
          <w:tcPr>
            <w:tcW w:w="6442" w:type="dxa"/>
            <w:vAlign w:val="center"/>
          </w:tcPr>
          <w:p w14:paraId="7FF2241A">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严格落实节水评价制度，得6分；</w:t>
            </w:r>
          </w:p>
          <w:p w14:paraId="726207FC">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发现一例在水资源论证、相关规划编制等工作中节水评价应开展未开展或不符合技术、管理要求的，扣1分，扣完为止</w:t>
            </w:r>
          </w:p>
        </w:tc>
        <w:tc>
          <w:tcPr>
            <w:tcW w:w="690" w:type="dxa"/>
            <w:vAlign w:val="center"/>
          </w:tcPr>
          <w:p w14:paraId="6BDEB359">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607" w:type="dxa"/>
            <w:vAlign w:val="center"/>
          </w:tcPr>
          <w:p w14:paraId="02A9F786">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tc>
      </w:tr>
      <w:tr w14:paraId="0553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768" w:type="dxa"/>
            <w:vAlign w:val="center"/>
          </w:tcPr>
          <w:p w14:paraId="34DCD096">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-622935</wp:posOffset>
                      </wp:positionH>
                      <wp:positionV relativeFrom="paragraph">
                        <wp:posOffset>466725</wp:posOffset>
                      </wp:positionV>
                      <wp:extent cx="730885" cy="294005"/>
                      <wp:effectExtent l="0" t="0" r="10795" b="12065"/>
                      <wp:wrapNone/>
                      <wp:docPr id="17" name="文本框 17"/>
                      <wp:cNvGraphicFramePr/>
                      <a:graphic xmlns:a="http://schemas.openxmlformats.org/drawingml/2006/main">
                        <a:graphicData uri="http://schemas.microsoft.com/office/word/2010/wordprocessingShape">
                          <wps:wsp>
                            <wps:cNvSpPr txBox="1"/>
                            <wps:spPr>
                              <a:xfrm rot="5400000">
                                <a:off x="0" y="0"/>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277C2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- 9 -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5pt;margin-top:36.75pt;height:23.15pt;width:57.55pt;rotation:5898240f;z-index:251669504;mso-width-relative:page;mso-height-relative:page;" fillcolor="#FFFFFF [3201]" filled="t" stroked="f" coordsize="21600,21600" o:gfxdata="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q2JyNoA&#10;AAAJAQAADwAAAAAAAAABACAAAAAiAAAAZHJzL2Rvd25yZXYueG1sUEsBAhQAFAAAAAgAh07iQImk&#10;7pxWAgAAngQAAA4AAAAAAAAAAQAgAAAAKQEAAGRycy9lMm9Eb2MueG1sUEsFBgAAAAAGAAYAWQEA&#10;APEFAAAAAA==&#10;">
                      <v:fill on="t" focussize="0,0"/>
                      <v:stroke on="f" weight="0.5pt"/>
                      <v:imagedata o:title=""/>
                      <o:lock v:ext="edit" aspectratio="f"/>
                      <v:textbox>
                        <w:txbxContent>
                          <w:p w14:paraId="65277C2F">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- 9 -</w:t>
                            </w:r>
                          </w:p>
                        </w:txbxContent>
                      </v:textbox>
                    </v:shape>
                  </w:pict>
                </mc:Fallback>
              </mc:AlternateContent>
            </w:r>
          </w:p>
          <w:p w14:paraId="44EE69B8">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516" w:type="dxa"/>
            <w:vAlign w:val="center"/>
          </w:tcPr>
          <w:p w14:paraId="7EC520E6">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节水“三同时”管理</w:t>
            </w:r>
          </w:p>
        </w:tc>
        <w:tc>
          <w:tcPr>
            <w:tcW w:w="3423" w:type="dxa"/>
            <w:vAlign w:val="center"/>
          </w:tcPr>
          <w:p w14:paraId="019D2B79">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新建、扩建、改建建设项目</w:t>
            </w:r>
            <w:r>
              <w:rPr>
                <w:rFonts w:hint="eastAsia" w:ascii="宋体" w:hAnsi="宋体" w:eastAsia="宋体" w:cs="宋体"/>
                <w:kern w:val="2"/>
                <w:sz w:val="21"/>
                <w:szCs w:val="21"/>
                <w:vertAlign w:val="superscript"/>
                <w:lang w:val="en-US" w:eastAsia="zh-CN" w:bidi="ar-SA"/>
              </w:rPr>
              <w:t>[8]</w:t>
            </w:r>
            <w:r>
              <w:rPr>
                <w:rFonts w:hint="eastAsia" w:ascii="宋体" w:hAnsi="宋体" w:eastAsia="宋体" w:cs="宋体"/>
                <w:kern w:val="2"/>
                <w:sz w:val="21"/>
                <w:szCs w:val="21"/>
                <w:lang w:val="en-US" w:eastAsia="zh-CN" w:bidi="ar-SA"/>
              </w:rPr>
              <w:t>执行节水设施与主体工程同时设计、同时施工、同时投产制度</w:t>
            </w:r>
          </w:p>
        </w:tc>
        <w:tc>
          <w:tcPr>
            <w:tcW w:w="6442" w:type="dxa"/>
            <w:vAlign w:val="center"/>
          </w:tcPr>
          <w:p w14:paraId="167EDD6F">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新建、扩建、改建建设项目全部执行节水“三同时”管理制度，得6分；</w:t>
            </w:r>
          </w:p>
          <w:p w14:paraId="46334E13">
            <w:pPr>
              <w:pStyle w:val="21"/>
              <w:keepNext w:val="0"/>
              <w:keepLines w:val="0"/>
              <w:pageBreakBefore w:val="0"/>
              <w:widowControl w:val="0"/>
              <w:kinsoku/>
              <w:wordWrap/>
              <w:overflowPunct/>
              <w:topLinePunct w:val="0"/>
              <w:autoSpaceDE/>
              <w:autoSpaceDN/>
              <w:bidi w:val="0"/>
              <w:adjustRightInd/>
              <w:snapToGrid/>
              <w:spacing w:line="4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发现一例未落实节水“三同时”管理制度的，扣1分，扣完为止</w:t>
            </w:r>
          </w:p>
        </w:tc>
        <w:tc>
          <w:tcPr>
            <w:tcW w:w="690" w:type="dxa"/>
            <w:vAlign w:val="center"/>
          </w:tcPr>
          <w:p w14:paraId="00A86497">
            <w:pPr>
              <w:keepNext w:val="0"/>
              <w:keepLines w:val="0"/>
              <w:pageBreakBefore w:val="0"/>
              <w:widowControl w:val="0"/>
              <w:kinsoku/>
              <w:wordWrap/>
              <w:overflowPunct/>
              <w:topLinePunct w:val="0"/>
              <w:autoSpaceDE/>
              <w:autoSpaceDN/>
              <w:bidi w:val="0"/>
              <w:adjustRightInd w:val="0"/>
              <w:snapToGrid w:val="0"/>
              <w:spacing w:line="4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07" w:type="dxa"/>
            <w:vAlign w:val="center"/>
          </w:tcPr>
          <w:p w14:paraId="16509DBB">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发改委</w:t>
            </w:r>
          </w:p>
          <w:p w14:paraId="066A4CA8">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住建局</w:t>
            </w:r>
          </w:p>
          <w:p w14:paraId="6EE0E0F6">
            <w:pPr>
              <w:keepNext w:val="0"/>
              <w:keepLines w:val="0"/>
              <w:pageBreakBefore w:val="0"/>
              <w:widowControl w:val="0"/>
              <w:kinsoku/>
              <w:wordWrap/>
              <w:overflowPunct/>
              <w:topLinePunct w:val="0"/>
              <w:autoSpaceDE/>
              <w:autoSpaceDN/>
              <w:bidi w:val="0"/>
              <w:spacing w:line="4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tc>
      </w:tr>
      <w:tr w14:paraId="3C63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68" w:type="dxa"/>
            <w:vMerge w:val="restart"/>
            <w:vAlign w:val="center"/>
          </w:tcPr>
          <w:p w14:paraId="764D7B9D">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r>
              <w:rPr>
                <w:sz w:val="32"/>
              </w:rPr>
              <mc:AlternateContent>
                <mc:Choice Requires="wps">
                  <w:drawing>
                    <wp:anchor distT="0" distB="0" distL="114300" distR="114300" simplePos="0" relativeHeight="251665408" behindDoc="0" locked="0" layoutInCell="1" allowOverlap="1">
                      <wp:simplePos x="0" y="0"/>
                      <wp:positionH relativeFrom="column">
                        <wp:posOffset>-622935</wp:posOffset>
                      </wp:positionH>
                      <wp:positionV relativeFrom="paragraph">
                        <wp:posOffset>-71755</wp:posOffset>
                      </wp:positionV>
                      <wp:extent cx="730885" cy="294005"/>
                      <wp:effectExtent l="0" t="0" r="10795" b="12065"/>
                      <wp:wrapNone/>
                      <wp:docPr id="13" name="文本框 13"/>
                      <wp:cNvGraphicFramePr/>
                      <a:graphic xmlns:a="http://schemas.openxmlformats.org/drawingml/2006/main">
                        <a:graphicData uri="http://schemas.microsoft.com/office/word/2010/wordprocessingShape">
                          <wps:wsp>
                            <wps:cNvSpPr txBox="1"/>
                            <wps:spPr>
                              <a:xfrm rot="5400000">
                                <a:off x="0" y="0"/>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C79673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- 10 -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5pt;margin-top:-5.65pt;height:23.15pt;width:57.55pt;rotation:5898240f;z-index:251665408;mso-width-relative:page;mso-height-relative:page;" fillcolor="#FFFFFF [3201]" filled="t" stroked="f" coordsize="21600,21600" o:gfxdata="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4cC2k2QAA&#10;AAkBAAAPAAAAAAAAAAEAIAAAACIAAABkcnMvZG93bnJldi54bWxQSwECFAAUAAAACACHTuJA01eV&#10;Q1YCAACeBAAADgAAAAAAAAABACAAAAAoAQAAZHJzL2Uyb0RvYy54bWxQSwUGAAAAAAYABgBZAQAA&#10;8AUAAAAA&#10;">
                      <v:fill on="t" focussize="0,0"/>
                      <v:stroke on="f" weight="0.5pt"/>
                      <v:imagedata o:title=""/>
                      <o:lock v:ext="edit" aspectratio="f"/>
                      <v:textbox>
                        <w:txbxContent>
                          <w:p w14:paraId="4C79673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- 10 -</w:t>
                            </w:r>
                          </w:p>
                        </w:txbxContent>
                      </v:textbox>
                    </v:shape>
                  </w:pict>
                </mc:Fallback>
              </mc:AlternateContent>
            </w:r>
          </w:p>
          <w:p w14:paraId="0CA18F59">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55FCC0B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482039B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395BED0A">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4187ED27">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60BD414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1D7B2B82">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15073FF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2F0694B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634566B3">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p>
          <w:p w14:paraId="181962E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516" w:type="dxa"/>
            <w:vMerge w:val="restart"/>
            <w:vAlign w:val="center"/>
          </w:tcPr>
          <w:p w14:paraId="5D1D644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节水载体建设</w:t>
            </w:r>
          </w:p>
        </w:tc>
        <w:tc>
          <w:tcPr>
            <w:tcW w:w="3423" w:type="dxa"/>
            <w:vAlign w:val="center"/>
          </w:tcPr>
          <w:p w14:paraId="3B0BD06C">
            <w:pPr>
              <w:pStyle w:val="21"/>
              <w:keepNext w:val="0"/>
              <w:keepLines w:val="0"/>
              <w:pageBreakBefore w:val="0"/>
              <w:widowControl w:val="0"/>
              <w:kinsoku/>
              <w:wordWrap/>
              <w:overflowPunct/>
              <w:topLinePunct w:val="0"/>
              <w:autoSpaceDE/>
              <w:autoSpaceDN/>
              <w:bidi w:val="0"/>
              <w:spacing w:line="360" w:lineRule="exact"/>
              <w:ind w:left="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推进节水型灌区建设</w:t>
            </w:r>
          </w:p>
        </w:tc>
        <w:tc>
          <w:tcPr>
            <w:tcW w:w="6442" w:type="dxa"/>
            <w:vAlign w:val="center"/>
          </w:tcPr>
          <w:p w14:paraId="0F60F73E">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en-US" w:bidi="ar-SA"/>
              </w:rPr>
            </w:pPr>
            <w:r>
              <w:rPr>
                <w:rFonts w:hint="eastAsia" w:asciiTheme="minorEastAsia" w:hAnsiTheme="minorEastAsia" w:eastAsiaTheme="minorEastAsia" w:cstheme="minorEastAsia"/>
                <w:color w:val="auto"/>
                <w:kern w:val="2"/>
                <w:sz w:val="21"/>
                <w:szCs w:val="21"/>
                <w:lang w:val="en-US" w:eastAsia="zh-CN" w:bidi="ar-SA"/>
              </w:rPr>
              <w:t>通过省级复核确认的大中型节水型灌区</w:t>
            </w:r>
            <w:r>
              <w:rPr>
                <w:rFonts w:hint="eastAsia" w:asciiTheme="minorEastAsia" w:hAnsiTheme="minorEastAsia" w:eastAsiaTheme="minorEastAsia" w:cstheme="minorEastAsia"/>
                <w:color w:val="auto"/>
                <w:kern w:val="2"/>
                <w:sz w:val="21"/>
                <w:szCs w:val="21"/>
                <w:vertAlign w:val="superscript"/>
                <w:lang w:val="en-US" w:eastAsia="zh-CN" w:bidi="ar-SA"/>
              </w:rPr>
              <w:t>[9]</w:t>
            </w:r>
            <w:r>
              <w:rPr>
                <w:rFonts w:hint="eastAsia" w:asciiTheme="minorEastAsia" w:hAnsiTheme="minorEastAsia" w:eastAsiaTheme="minorEastAsia" w:cstheme="minorEastAsia"/>
                <w:color w:val="auto"/>
                <w:kern w:val="2"/>
                <w:sz w:val="21"/>
                <w:szCs w:val="21"/>
                <w:lang w:val="en-US" w:eastAsia="zh-CN" w:bidi="ar-SA"/>
              </w:rPr>
              <w:t>面积占全县灌溉面积70%以上，得3分；占60%—70%（含）得2分；占50%—60%（含）得1分。其中，一个以上大中型节水型灌区通过水利部复核确认的，加1分</w:t>
            </w:r>
          </w:p>
        </w:tc>
        <w:tc>
          <w:tcPr>
            <w:tcW w:w="690" w:type="dxa"/>
            <w:vAlign w:val="center"/>
          </w:tcPr>
          <w:p w14:paraId="747C9EDC">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607" w:type="dxa"/>
            <w:vMerge w:val="restart"/>
            <w:vAlign w:val="center"/>
          </w:tcPr>
          <w:p w14:paraId="510EEA2F">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工信局</w:t>
            </w:r>
          </w:p>
          <w:p w14:paraId="54C48BEF">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住建局</w:t>
            </w:r>
          </w:p>
          <w:p w14:paraId="11DCE23B">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水利局</w:t>
            </w:r>
          </w:p>
          <w:p w14:paraId="152B7ADB">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cs="宋体"/>
                <w:sz w:val="21"/>
                <w:szCs w:val="21"/>
                <w:lang w:val="en-US" w:eastAsia="zh-CN"/>
              </w:rPr>
              <w:t>机关事务中心</w:t>
            </w:r>
          </w:p>
          <w:p w14:paraId="6433C825">
            <w:pPr>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房产事务中心</w:t>
            </w:r>
          </w:p>
        </w:tc>
      </w:tr>
      <w:tr w14:paraId="11465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68" w:type="dxa"/>
            <w:vMerge w:val="continue"/>
            <w:vAlign w:val="center"/>
          </w:tcPr>
          <w:p w14:paraId="307A7923">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1516" w:type="dxa"/>
            <w:vMerge w:val="continue"/>
            <w:vAlign w:val="center"/>
          </w:tcPr>
          <w:p w14:paraId="68FBC2CF">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3423" w:type="dxa"/>
            <w:vAlign w:val="center"/>
          </w:tcPr>
          <w:p w14:paraId="53E6DC7E">
            <w:pPr>
              <w:pStyle w:val="21"/>
              <w:keepNext w:val="0"/>
              <w:keepLines w:val="0"/>
              <w:pageBreakBefore w:val="0"/>
              <w:widowControl w:val="0"/>
              <w:kinsoku/>
              <w:wordWrap/>
              <w:overflowPunct/>
              <w:topLinePunct w:val="0"/>
              <w:autoSpaceDE/>
              <w:autoSpaceDN/>
              <w:bidi w:val="0"/>
              <w:spacing w:line="360" w:lineRule="exact"/>
              <w:ind w:left="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推进节水型企业建设</w:t>
            </w:r>
          </w:p>
        </w:tc>
        <w:tc>
          <w:tcPr>
            <w:tcW w:w="6442" w:type="dxa"/>
            <w:vAlign w:val="center"/>
          </w:tcPr>
          <w:p w14:paraId="4EDBD8CB">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北方地区：重点用水行业节水型企业建成率</w:t>
            </w:r>
            <w:r>
              <w:rPr>
                <w:rFonts w:hint="eastAsia" w:asciiTheme="minorEastAsia" w:hAnsiTheme="minorEastAsia" w:eastAsiaTheme="minorEastAsia" w:cstheme="minorEastAsia"/>
                <w:color w:val="auto"/>
                <w:kern w:val="2"/>
                <w:sz w:val="21"/>
                <w:szCs w:val="21"/>
                <w:vertAlign w:val="superscript"/>
                <w:lang w:val="en-US" w:eastAsia="zh-CN" w:bidi="ar-SA"/>
              </w:rPr>
              <w:t>[10]</w:t>
            </w:r>
            <w:r>
              <w:rPr>
                <w:rFonts w:hint="eastAsia" w:asciiTheme="minorEastAsia" w:hAnsiTheme="minorEastAsia" w:eastAsiaTheme="minorEastAsia" w:cstheme="minorEastAsia"/>
                <w:color w:val="auto"/>
                <w:kern w:val="2"/>
                <w:sz w:val="21"/>
                <w:szCs w:val="21"/>
                <w:lang w:val="en-US" w:eastAsia="zh-CN" w:bidi="ar-SA"/>
              </w:rPr>
              <w:t>≥50%，得4分；每低2%，扣1分，扣完为止；</w:t>
            </w:r>
          </w:p>
          <w:p w14:paraId="30F9CFD4">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南方地区：重点用水行业节水型企业建成率≥40%，得4分；每低2%，扣1分，扣完为止；</w:t>
            </w:r>
          </w:p>
          <w:p w14:paraId="6320BB46">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en-US" w:bidi="ar-SA"/>
              </w:rPr>
            </w:pPr>
            <w:r>
              <w:rPr>
                <w:rFonts w:hint="eastAsia" w:asciiTheme="minorEastAsia" w:hAnsiTheme="minorEastAsia" w:eastAsiaTheme="minorEastAsia" w:cstheme="minorEastAsia"/>
                <w:color w:val="auto"/>
                <w:kern w:val="2"/>
                <w:sz w:val="21"/>
                <w:szCs w:val="21"/>
                <w:lang w:val="en-US" w:eastAsia="zh-CN" w:bidi="ar-SA"/>
              </w:rPr>
              <w:t>发现一例节水型企业建设不规范，未达到节水型企业相关标准的，扣1分，扣完为止</w:t>
            </w:r>
          </w:p>
        </w:tc>
        <w:tc>
          <w:tcPr>
            <w:tcW w:w="690" w:type="dxa"/>
            <w:vAlign w:val="center"/>
          </w:tcPr>
          <w:p w14:paraId="364E9C85">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607" w:type="dxa"/>
            <w:vMerge w:val="continue"/>
            <w:vAlign w:val="center"/>
          </w:tcPr>
          <w:p w14:paraId="2B97ED9A">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r>
      <w:tr w14:paraId="211C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68" w:type="dxa"/>
            <w:vMerge w:val="continue"/>
            <w:vAlign w:val="center"/>
          </w:tcPr>
          <w:p w14:paraId="127EA686">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1516" w:type="dxa"/>
            <w:vMerge w:val="continue"/>
            <w:vAlign w:val="center"/>
          </w:tcPr>
          <w:p w14:paraId="2D402691">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3423" w:type="dxa"/>
            <w:vAlign w:val="center"/>
          </w:tcPr>
          <w:p w14:paraId="4E9FB743">
            <w:pPr>
              <w:pStyle w:val="21"/>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pacing w:val="-1"/>
                <w:sz w:val="21"/>
                <w:szCs w:val="21"/>
              </w:rPr>
              <w:t>推进公共机构节水型单位</w:t>
            </w:r>
            <w:r>
              <w:rPr>
                <w:rFonts w:hint="eastAsia" w:asciiTheme="minorEastAsia" w:hAnsiTheme="minorEastAsia" w:eastAsiaTheme="minorEastAsia" w:cstheme="minorEastAsia"/>
                <w:color w:val="auto"/>
                <w:spacing w:val="-3"/>
                <w:sz w:val="21"/>
                <w:szCs w:val="21"/>
              </w:rPr>
              <w:t>建设</w:t>
            </w:r>
          </w:p>
        </w:tc>
        <w:tc>
          <w:tcPr>
            <w:tcW w:w="6442" w:type="dxa"/>
            <w:vAlign w:val="center"/>
          </w:tcPr>
          <w:p w14:paraId="7015356A">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公共机构节水型单位建成率</w:t>
            </w:r>
            <w:r>
              <w:rPr>
                <w:rFonts w:hint="eastAsia" w:asciiTheme="minorEastAsia" w:hAnsiTheme="minorEastAsia" w:eastAsiaTheme="minorEastAsia" w:cstheme="minorEastAsia"/>
                <w:color w:val="auto"/>
                <w:kern w:val="2"/>
                <w:sz w:val="21"/>
                <w:szCs w:val="21"/>
                <w:vertAlign w:val="superscript"/>
                <w:lang w:val="en-US" w:eastAsia="zh-CN" w:bidi="ar-SA"/>
              </w:rPr>
              <w:t>[11]</w:t>
            </w:r>
            <w:r>
              <w:rPr>
                <w:rFonts w:hint="eastAsia" w:asciiTheme="minorEastAsia" w:hAnsiTheme="minorEastAsia" w:eastAsiaTheme="minorEastAsia" w:cstheme="minorEastAsia"/>
                <w:color w:val="auto"/>
                <w:kern w:val="2"/>
                <w:sz w:val="21"/>
                <w:szCs w:val="21"/>
                <w:lang w:val="en-US" w:eastAsia="zh-CN" w:bidi="ar-SA"/>
              </w:rPr>
              <w:t>≥50%，得4分；每低2%，扣1分，扣完为止；</w:t>
            </w:r>
          </w:p>
          <w:p w14:paraId="31EFEA75">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2"/>
                <w:sz w:val="21"/>
                <w:szCs w:val="21"/>
                <w:lang w:val="en-US" w:eastAsia="zh-CN" w:bidi="ar-SA"/>
              </w:rPr>
              <w:t>发现一例公共机构节水型单位建设不规范，未达到公共机构节水型单位相关标准的，扣1分，扣完为止</w:t>
            </w:r>
          </w:p>
        </w:tc>
        <w:tc>
          <w:tcPr>
            <w:tcW w:w="690" w:type="dxa"/>
            <w:vAlign w:val="center"/>
          </w:tcPr>
          <w:p w14:paraId="63337C4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607" w:type="dxa"/>
            <w:vMerge w:val="continue"/>
            <w:vAlign w:val="center"/>
          </w:tcPr>
          <w:p w14:paraId="44DBDE95">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r>
      <w:tr w14:paraId="7C0D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768" w:type="dxa"/>
            <w:vMerge w:val="continue"/>
            <w:vAlign w:val="center"/>
          </w:tcPr>
          <w:p w14:paraId="115D0B68">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1516" w:type="dxa"/>
            <w:vMerge w:val="continue"/>
            <w:vAlign w:val="center"/>
          </w:tcPr>
          <w:p w14:paraId="7785BA42">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rPr>
            </w:pPr>
          </w:p>
        </w:tc>
        <w:tc>
          <w:tcPr>
            <w:tcW w:w="3423" w:type="dxa"/>
            <w:vAlign w:val="center"/>
          </w:tcPr>
          <w:p w14:paraId="7166A7ED">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推进节水型居民小区建设</w:t>
            </w:r>
          </w:p>
        </w:tc>
        <w:tc>
          <w:tcPr>
            <w:tcW w:w="6442" w:type="dxa"/>
            <w:vAlign w:val="center"/>
          </w:tcPr>
          <w:p w14:paraId="0564AB07">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北方地区：节水型居民小区建成率</w:t>
            </w:r>
            <w:r>
              <w:rPr>
                <w:rFonts w:hint="eastAsia" w:asciiTheme="minorEastAsia" w:hAnsiTheme="minorEastAsia" w:eastAsiaTheme="minorEastAsia" w:cstheme="minorEastAsia"/>
                <w:color w:val="auto"/>
                <w:kern w:val="2"/>
                <w:sz w:val="21"/>
                <w:szCs w:val="21"/>
                <w:vertAlign w:val="superscript"/>
                <w:lang w:val="en-US" w:eastAsia="zh-CN" w:bidi="ar-SA"/>
              </w:rPr>
              <w:t>[12]</w:t>
            </w:r>
            <w:r>
              <w:rPr>
                <w:rFonts w:hint="eastAsia" w:asciiTheme="minorEastAsia" w:hAnsiTheme="minorEastAsia" w:eastAsiaTheme="minorEastAsia" w:cstheme="minorEastAsia"/>
                <w:color w:val="auto"/>
                <w:kern w:val="2"/>
                <w:sz w:val="21"/>
                <w:szCs w:val="21"/>
                <w:lang w:val="en-US" w:eastAsia="zh-CN" w:bidi="ar-SA"/>
              </w:rPr>
              <w:t>≥20%，得4分；每低1%，扣2分，扣完为止；</w:t>
            </w:r>
          </w:p>
          <w:p w14:paraId="355F7BA1">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南方地区：节水型居民小区建成率≥15%，得4分；每低1%，扣2分，扣完为止；</w:t>
            </w:r>
          </w:p>
          <w:p w14:paraId="69334A66">
            <w:pPr>
              <w:pStyle w:val="21"/>
              <w:keepNext w:val="0"/>
              <w:keepLines w:val="0"/>
              <w:pageBreakBefore w:val="0"/>
              <w:widowControl w:val="0"/>
              <w:kinsoku/>
              <w:wordWrap/>
              <w:overflowPunct/>
              <w:topLinePunct w:val="0"/>
              <w:autoSpaceDE/>
              <w:autoSpaceDN/>
              <w:bidi w:val="0"/>
              <w:adjustRightInd/>
              <w:snapToGrid/>
              <w:spacing w:line="420" w:lineRule="exact"/>
              <w:ind w:left="0" w:right="0" w:firstLine="0" w:firstLineChars="0"/>
              <w:jc w:val="both"/>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发现一例节水型居民小区建设不规范，未达到节水型居民小区相关标准的，扣1分，扣完为止</w:t>
            </w:r>
          </w:p>
        </w:tc>
        <w:tc>
          <w:tcPr>
            <w:tcW w:w="690" w:type="dxa"/>
            <w:vAlign w:val="center"/>
          </w:tcPr>
          <w:p w14:paraId="3C0E761B">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607" w:type="dxa"/>
            <w:vMerge w:val="continue"/>
            <w:vAlign w:val="center"/>
          </w:tcPr>
          <w:p w14:paraId="1BCFDBD3">
            <w:pPr>
              <w:keepNext w:val="0"/>
              <w:keepLines w:val="0"/>
              <w:pageBreakBefore w:val="0"/>
              <w:widowControl w:val="0"/>
              <w:kinsoku/>
              <w:wordWrap/>
              <w:overflowPunct/>
              <w:topLinePunct w:val="0"/>
              <w:autoSpaceDE/>
              <w:autoSpaceDN/>
              <w:bidi w:val="0"/>
              <w:spacing w:line="360" w:lineRule="exact"/>
              <w:ind w:left="0" w:right="0" w:firstLine="0" w:firstLineChars="0"/>
              <w:textAlignment w:val="auto"/>
              <w:rPr>
                <w:rFonts w:hint="eastAsia" w:ascii="宋体" w:hAnsi="宋体" w:eastAsia="宋体" w:cs="宋体"/>
                <w:sz w:val="21"/>
                <w:szCs w:val="21"/>
              </w:rPr>
            </w:pPr>
          </w:p>
        </w:tc>
      </w:tr>
      <w:tr w14:paraId="399FF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768" w:type="dxa"/>
            <w:vAlign w:val="center"/>
          </w:tcPr>
          <w:p w14:paraId="2064BA9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516" w:type="dxa"/>
            <w:vAlign w:val="center"/>
          </w:tcPr>
          <w:p w14:paraId="742FA43F">
            <w:pPr>
              <w:pStyle w:val="21"/>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供水管网漏损控制</w:t>
            </w:r>
          </w:p>
        </w:tc>
        <w:tc>
          <w:tcPr>
            <w:tcW w:w="3423" w:type="dxa"/>
            <w:vAlign w:val="center"/>
          </w:tcPr>
          <w:p w14:paraId="59F3E815">
            <w:pPr>
              <w:pStyle w:val="21"/>
              <w:keepNext w:val="0"/>
              <w:keepLines w:val="0"/>
              <w:pageBreakBefore w:val="0"/>
              <w:widowControl w:val="0"/>
              <w:kinsoku/>
              <w:wordWrap/>
              <w:overflowPunct/>
              <w:topLinePunct w:val="0"/>
              <w:autoSpaceDE/>
              <w:autoSpaceDN/>
              <w:bidi w:val="0"/>
              <w:spacing w:line="360" w:lineRule="exact"/>
              <w:ind w:left="0" w:leftChars="0" w:right="0" w:firstLine="0" w:firstLineChars="0"/>
              <w:jc w:val="both"/>
              <w:textAlignment w:val="auto"/>
              <w:rPr>
                <w:rFonts w:hint="eastAsia" w:ascii="宋体" w:hAnsi="宋体" w:eastAsia="宋体" w:cs="宋体"/>
                <w:sz w:val="21"/>
                <w:szCs w:val="21"/>
              </w:rPr>
            </w:pPr>
            <w:r>
              <w:rPr>
                <w:rFonts w:hint="eastAsia" w:ascii="宋体" w:hAnsi="宋体" w:eastAsia="宋体" w:cs="宋体"/>
                <w:spacing w:val="2"/>
                <w:sz w:val="21"/>
                <w:szCs w:val="21"/>
              </w:rPr>
              <w:t>公共供水管网漏损率</w:t>
            </w:r>
            <w:r>
              <w:rPr>
                <w:rFonts w:hint="eastAsia" w:ascii="宋体" w:hAnsi="宋体" w:eastAsia="宋体" w:cs="宋体"/>
                <w:spacing w:val="2"/>
                <w:sz w:val="21"/>
                <w:szCs w:val="21"/>
                <w:vertAlign w:val="superscript"/>
              </w:rPr>
              <w:t>[13]</w:t>
            </w:r>
          </w:p>
        </w:tc>
        <w:tc>
          <w:tcPr>
            <w:tcW w:w="6442" w:type="dxa"/>
            <w:vAlign w:val="center"/>
          </w:tcPr>
          <w:p w14:paraId="307069DA">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按《城镇供水管网漏损控制及评定标准》CJJ92规定核算后的漏损率≤9%，得8分；每高1%，扣1分，扣完为止</w:t>
            </w:r>
          </w:p>
        </w:tc>
        <w:tc>
          <w:tcPr>
            <w:tcW w:w="690" w:type="dxa"/>
            <w:vAlign w:val="center"/>
          </w:tcPr>
          <w:p w14:paraId="060F3947">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607" w:type="dxa"/>
            <w:vAlign w:val="center"/>
          </w:tcPr>
          <w:p w14:paraId="3622CC9C">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住建局</w:t>
            </w:r>
          </w:p>
          <w:p w14:paraId="5E534D55">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国源水务公司</w:t>
            </w:r>
          </w:p>
        </w:tc>
      </w:tr>
      <w:tr w14:paraId="4664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768" w:type="dxa"/>
            <w:vAlign w:val="center"/>
          </w:tcPr>
          <w:p w14:paraId="06752E2D">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516" w:type="dxa"/>
            <w:vAlign w:val="center"/>
          </w:tcPr>
          <w:p w14:paraId="5035C782">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生活节水</w:t>
            </w:r>
          </w:p>
          <w:p w14:paraId="18ACDFEB">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器具推广</w:t>
            </w:r>
          </w:p>
        </w:tc>
        <w:tc>
          <w:tcPr>
            <w:tcW w:w="3423" w:type="dxa"/>
            <w:vAlign w:val="center"/>
          </w:tcPr>
          <w:p w14:paraId="7083F59D">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全面推动公共场所</w:t>
            </w:r>
            <w:r>
              <w:rPr>
                <w:rFonts w:hint="eastAsia" w:ascii="宋体" w:hAnsi="宋体" w:eastAsia="宋体" w:cs="宋体"/>
                <w:kern w:val="2"/>
                <w:sz w:val="21"/>
                <w:szCs w:val="21"/>
                <w:vertAlign w:val="superscript"/>
                <w:lang w:val="en-US" w:eastAsia="zh-CN" w:bidi="ar-SA"/>
              </w:rPr>
              <w:t>[14]</w:t>
            </w:r>
            <w:r>
              <w:rPr>
                <w:rFonts w:hint="eastAsia" w:ascii="宋体" w:hAnsi="宋体" w:eastAsia="宋体" w:cs="宋体"/>
                <w:kern w:val="2"/>
                <w:sz w:val="21"/>
                <w:szCs w:val="21"/>
                <w:lang w:val="en-US" w:eastAsia="zh-CN" w:bidi="ar-SA"/>
              </w:rPr>
              <w:t>、居民家庭使用生活节水器具，强化水效标识</w:t>
            </w:r>
            <w:r>
              <w:rPr>
                <w:rFonts w:hint="eastAsia" w:ascii="宋体" w:hAnsi="宋体" w:eastAsia="宋体" w:cs="宋体"/>
                <w:kern w:val="2"/>
                <w:sz w:val="21"/>
                <w:szCs w:val="21"/>
                <w:vertAlign w:val="superscript"/>
                <w:lang w:val="en-US" w:eastAsia="zh-CN" w:bidi="ar-SA"/>
              </w:rPr>
              <w:t>[15]</w:t>
            </w:r>
            <w:r>
              <w:rPr>
                <w:rFonts w:hint="eastAsia" w:ascii="宋体" w:hAnsi="宋体" w:eastAsia="宋体" w:cs="宋体"/>
                <w:kern w:val="2"/>
                <w:sz w:val="21"/>
                <w:szCs w:val="21"/>
                <w:lang w:val="en-US" w:eastAsia="zh-CN" w:bidi="ar-SA"/>
              </w:rPr>
              <w:t>管理</w:t>
            </w:r>
          </w:p>
        </w:tc>
        <w:tc>
          <w:tcPr>
            <w:tcW w:w="6442" w:type="dxa"/>
            <w:vAlign w:val="center"/>
          </w:tcPr>
          <w:p w14:paraId="3EDBF7CE">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公共场所和新建小区居民家庭全部采用节水器具，得6分；发现一例不符合节水标准或不符合水效标识管理规定的，扣1分，扣完为止</w:t>
            </w:r>
          </w:p>
        </w:tc>
        <w:tc>
          <w:tcPr>
            <w:tcW w:w="690" w:type="dxa"/>
            <w:vAlign w:val="center"/>
          </w:tcPr>
          <w:p w14:paraId="64E664CF">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07" w:type="dxa"/>
            <w:vAlign w:val="center"/>
          </w:tcPr>
          <w:p w14:paraId="3629DA6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住建局</w:t>
            </w:r>
          </w:p>
          <w:p w14:paraId="5B56BD86">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市场监管局</w:t>
            </w:r>
          </w:p>
          <w:p w14:paraId="1E572807">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城管局</w:t>
            </w:r>
          </w:p>
          <w:p w14:paraId="17C3EBB9">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tc>
      </w:tr>
      <w:tr w14:paraId="2464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768" w:type="dxa"/>
            <w:vMerge w:val="restart"/>
            <w:vAlign w:val="center"/>
          </w:tcPr>
          <w:p w14:paraId="7EA05F59">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516" w:type="dxa"/>
            <w:vMerge w:val="restart"/>
            <w:vAlign w:val="center"/>
          </w:tcPr>
          <w:p w14:paraId="328D6BE7">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非常规</w:t>
            </w:r>
          </w:p>
          <w:p w14:paraId="7BF6EE4D">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水源利用</w:t>
            </w:r>
          </w:p>
        </w:tc>
        <w:tc>
          <w:tcPr>
            <w:tcW w:w="3423" w:type="dxa"/>
            <w:vAlign w:val="center"/>
          </w:tcPr>
          <w:p w14:paraId="37258BA8">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加强非常规水源配置利用</w:t>
            </w:r>
          </w:p>
        </w:tc>
        <w:tc>
          <w:tcPr>
            <w:tcW w:w="6442" w:type="dxa"/>
            <w:vAlign w:val="center"/>
          </w:tcPr>
          <w:p w14:paraId="36B79A69">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对具备非常规水源利用条件的用水户，在下达用水计划时配置非常规水源的，得2分；</w:t>
            </w:r>
          </w:p>
          <w:p w14:paraId="03BB9D93">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en-US" w:bidi="ar-SA"/>
              </w:rPr>
            </w:pPr>
            <w:r>
              <w:rPr>
                <w:rFonts w:hint="eastAsia" w:ascii="宋体" w:hAnsi="宋体" w:eastAsia="宋体" w:cs="宋体"/>
                <w:kern w:val="2"/>
                <w:sz w:val="21"/>
                <w:szCs w:val="21"/>
                <w:lang w:val="en-US" w:eastAsia="zh-CN" w:bidi="ar-SA"/>
              </w:rPr>
              <w:t>发现一例应配置而未配置的，扣1分，扣完为止</w:t>
            </w:r>
          </w:p>
        </w:tc>
        <w:tc>
          <w:tcPr>
            <w:tcW w:w="690" w:type="dxa"/>
            <w:vAlign w:val="center"/>
          </w:tcPr>
          <w:p w14:paraId="10C98D03">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607" w:type="dxa"/>
            <w:vMerge w:val="restart"/>
            <w:vAlign w:val="center"/>
          </w:tcPr>
          <w:p w14:paraId="2EB23423">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住建局</w:t>
            </w:r>
          </w:p>
          <w:p w14:paraId="216352F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城管</w:t>
            </w:r>
            <w:r>
              <w:rPr>
                <w:rFonts w:hint="eastAsia" w:ascii="宋体" w:hAnsi="宋体" w:eastAsia="宋体" w:cs="宋体"/>
                <w:sz w:val="21"/>
                <w:szCs w:val="21"/>
              </w:rPr>
              <w:t>局</w:t>
            </w:r>
          </w:p>
        </w:tc>
      </w:tr>
      <w:tr w14:paraId="13D8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68" w:type="dxa"/>
            <w:vMerge w:val="continue"/>
            <w:vAlign w:val="center"/>
          </w:tcPr>
          <w:p w14:paraId="08321B9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4F4F75B0">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p>
        </w:tc>
        <w:tc>
          <w:tcPr>
            <w:tcW w:w="3423" w:type="dxa"/>
            <w:vAlign w:val="center"/>
          </w:tcPr>
          <w:p w14:paraId="7FED0298">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再生水利用率</w:t>
            </w:r>
            <w:r>
              <w:rPr>
                <w:rFonts w:hint="eastAsia" w:ascii="宋体" w:hAnsi="宋体" w:eastAsia="宋体" w:cs="宋体"/>
                <w:kern w:val="2"/>
                <w:sz w:val="21"/>
                <w:szCs w:val="21"/>
                <w:vertAlign w:val="superscript"/>
                <w:lang w:val="en-US" w:eastAsia="zh-CN" w:bidi="ar-SA"/>
              </w:rPr>
              <w:t>[16]</w:t>
            </w:r>
          </w:p>
        </w:tc>
        <w:tc>
          <w:tcPr>
            <w:tcW w:w="6442" w:type="dxa"/>
            <w:vAlign w:val="center"/>
          </w:tcPr>
          <w:p w14:paraId="418B65A4">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distribute"/>
              <w:textAlignment w:val="auto"/>
              <w:rPr>
                <w:rFonts w:hint="eastAsia" w:ascii="宋体" w:hAnsi="宋体" w:eastAsia="宋体" w:cs="宋体"/>
                <w:spacing w:val="-6"/>
                <w:kern w:val="2"/>
                <w:sz w:val="21"/>
                <w:szCs w:val="21"/>
                <w:lang w:val="en-US" w:eastAsia="zh-CN" w:bidi="ar-SA"/>
              </w:rPr>
            </w:pPr>
            <w:r>
              <w:rPr>
                <w:rFonts w:hint="eastAsia" w:ascii="宋体" w:hAnsi="宋体" w:eastAsia="宋体" w:cs="宋体"/>
                <w:spacing w:val="-6"/>
                <w:kern w:val="2"/>
                <w:sz w:val="21"/>
                <w:szCs w:val="21"/>
                <w:lang w:val="en-US" w:eastAsia="zh-CN" w:bidi="ar-SA"/>
              </w:rPr>
              <w:t>北方地区：再生水利用率≥20%，得6分，每低1%，扣1分，扣完为止；</w:t>
            </w:r>
          </w:p>
          <w:p w14:paraId="4E0AFFB8">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distribute"/>
              <w:textAlignment w:val="auto"/>
              <w:rPr>
                <w:rFonts w:hint="eastAsia" w:ascii="宋体" w:hAnsi="宋体" w:eastAsia="宋体" w:cs="宋体"/>
                <w:kern w:val="2"/>
                <w:sz w:val="21"/>
                <w:szCs w:val="21"/>
                <w:lang w:val="en-US" w:eastAsia="en-US" w:bidi="ar-SA"/>
              </w:rPr>
            </w:pPr>
            <w:r>
              <w:rPr>
                <w:rFonts w:hint="eastAsia" w:ascii="宋体" w:hAnsi="宋体" w:eastAsia="宋体" w:cs="宋体"/>
                <w:spacing w:val="-6"/>
                <w:kern w:val="2"/>
                <w:sz w:val="21"/>
                <w:szCs w:val="21"/>
                <w:lang w:val="en-US" w:eastAsia="zh-CN" w:bidi="ar-SA"/>
              </w:rPr>
              <w:t>南方地区：再生水利用率≥15%，得6分，每低1%，扣1分，扣完为止</w:t>
            </w:r>
          </w:p>
        </w:tc>
        <w:tc>
          <w:tcPr>
            <w:tcW w:w="690" w:type="dxa"/>
            <w:vAlign w:val="center"/>
          </w:tcPr>
          <w:p w14:paraId="706C4D9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6</w:t>
            </w:r>
          </w:p>
        </w:tc>
        <w:tc>
          <w:tcPr>
            <w:tcW w:w="1607" w:type="dxa"/>
            <w:vMerge w:val="continue"/>
            <w:vAlign w:val="center"/>
          </w:tcPr>
          <w:p w14:paraId="5CAF5457">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r>
      <w:tr w14:paraId="24B7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68" w:type="dxa"/>
            <w:vAlign w:val="center"/>
          </w:tcPr>
          <w:p w14:paraId="3AE218C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rPr>
            </w:pPr>
          </w:p>
          <w:p w14:paraId="649AC050">
            <w:pPr>
              <w:keepNext w:val="0"/>
              <w:keepLines w:val="0"/>
              <w:pageBreakBefore w:val="0"/>
              <w:widowControl w:val="0"/>
              <w:kinsoku/>
              <w:wordWrap/>
              <w:overflowPunct/>
              <w:topLinePunct w:val="0"/>
              <w:autoSpaceDE/>
              <w:autoSpaceDN/>
              <w:bidi w:val="0"/>
              <w:adjustRightInd w:val="0"/>
              <w:snapToGrid w:val="0"/>
              <w:spacing w:line="200" w:lineRule="exact"/>
              <w:ind w:left="0" w:right="0" w:firstLine="0" w:firstLineChars="0"/>
              <w:jc w:val="center"/>
              <w:textAlignment w:val="auto"/>
              <w:rPr>
                <w:rFonts w:hint="eastAsia" w:ascii="宋体" w:hAnsi="宋体" w:eastAsia="宋体" w:cs="宋体"/>
                <w:sz w:val="21"/>
                <w:szCs w:val="21"/>
              </w:rPr>
            </w:pPr>
          </w:p>
          <w:p w14:paraId="09462411">
            <w:pPr>
              <w:pStyle w:val="7"/>
              <w:rPr>
                <w:rFonts w:hint="eastAsia"/>
              </w:rPr>
            </w:pPr>
          </w:p>
          <w:p w14:paraId="5DBA4406">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-622935</wp:posOffset>
                      </wp:positionH>
                      <wp:positionV relativeFrom="paragraph">
                        <wp:posOffset>544195</wp:posOffset>
                      </wp:positionV>
                      <wp:extent cx="730885" cy="294005"/>
                      <wp:effectExtent l="0" t="0" r="10795" b="12065"/>
                      <wp:wrapNone/>
                      <wp:docPr id="16" name="文本框 16"/>
                      <wp:cNvGraphicFramePr/>
                      <a:graphic xmlns:a="http://schemas.openxmlformats.org/drawingml/2006/main">
                        <a:graphicData uri="http://schemas.microsoft.com/office/word/2010/wordprocessingShape">
                          <wps:wsp>
                            <wps:cNvSpPr txBox="1"/>
                            <wps:spPr>
                              <a:xfrm rot="5400000">
                                <a:off x="0" y="0"/>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296C2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- 11 -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05pt;margin-top:42.85pt;height:23.15pt;width:57.55pt;rotation:5898240f;z-index:251668480;mso-width-relative:page;mso-height-relative:page;" fillcolor="#FFFFFF [3201]" filled="t" stroked="f" coordsize="21600,21600" o:gfxdata="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3/z189oA&#10;AAAJAQAADwAAAAAAAAABACAAAAAiAAAAZHJzL2Rvd25yZXYueG1sUEsBAhQAFAAAAAgAh07iQH/b&#10;iEZWAgAAngQAAA4AAAAAAAAAAQAgAAAAKQEAAGRycy9lMm9Eb2MueG1sUEsFBgAAAAAGAAYAWQEA&#10;APEFAAAAAA==&#10;">
                      <v:fill on="t" focussize="0,0"/>
                      <v:stroke on="f" weight="0.5pt"/>
                      <v:imagedata o:title=""/>
                      <o:lock v:ext="edit" aspectratio="f"/>
                      <v:textbox>
                        <w:txbxContent>
                          <w:p w14:paraId="70296C22">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- 11 -</w:t>
                            </w:r>
                          </w:p>
                        </w:txbxContent>
                      </v:textbox>
                    </v:shape>
                  </w:pict>
                </mc:Fallback>
              </mc:AlternateContent>
            </w: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516" w:type="dxa"/>
            <w:vAlign w:val="center"/>
          </w:tcPr>
          <w:p w14:paraId="3D832446">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节水宣传</w:t>
            </w:r>
          </w:p>
        </w:tc>
        <w:tc>
          <w:tcPr>
            <w:tcW w:w="3423" w:type="dxa"/>
            <w:vAlign w:val="center"/>
          </w:tcPr>
          <w:p w14:paraId="00FADEF2">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开展节水宣传教育活动</w:t>
            </w:r>
          </w:p>
        </w:tc>
        <w:tc>
          <w:tcPr>
            <w:tcW w:w="6442" w:type="dxa"/>
            <w:vAlign w:val="center"/>
          </w:tcPr>
          <w:p w14:paraId="3166C263">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在世界水日、中国水周、城市节水宣传周开展节水宣传活动，得3分；</w:t>
            </w:r>
          </w:p>
          <w:p w14:paraId="35876EF8">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开展节水宣传进机关、进校园、进企业、进社区、进农村等活动，每做一项得1分，最多得3分</w:t>
            </w:r>
          </w:p>
        </w:tc>
        <w:tc>
          <w:tcPr>
            <w:tcW w:w="690" w:type="dxa"/>
            <w:vAlign w:val="center"/>
          </w:tcPr>
          <w:p w14:paraId="17D689A8">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07" w:type="dxa"/>
            <w:vAlign w:val="center"/>
          </w:tcPr>
          <w:p w14:paraId="3CC75AAD">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水利局</w:t>
            </w:r>
          </w:p>
          <w:p w14:paraId="126C86B0">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住建局</w:t>
            </w:r>
          </w:p>
          <w:p w14:paraId="448F634E">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机关事务中心</w:t>
            </w:r>
          </w:p>
          <w:p w14:paraId="7D575581">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工信局</w:t>
            </w:r>
          </w:p>
          <w:p w14:paraId="21D60A55">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文化广电</w:t>
            </w:r>
          </w:p>
          <w:p w14:paraId="01931CC2">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和旅游局</w:t>
            </w:r>
          </w:p>
          <w:p w14:paraId="7C39548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教体局</w:t>
            </w:r>
          </w:p>
        </w:tc>
      </w:tr>
      <w:tr w14:paraId="244A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68" w:type="dxa"/>
            <w:vMerge w:val="restart"/>
            <w:vAlign w:val="center"/>
          </w:tcPr>
          <w:p w14:paraId="1A7D89CB">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16" w:type="dxa"/>
            <w:vMerge w:val="restart"/>
            <w:vAlign w:val="center"/>
          </w:tcPr>
          <w:p w14:paraId="2D20923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加分项</w:t>
            </w:r>
          </w:p>
        </w:tc>
        <w:tc>
          <w:tcPr>
            <w:tcW w:w="3423" w:type="dxa"/>
            <w:vAlign w:val="center"/>
          </w:tcPr>
          <w:p w14:paraId="4E586499">
            <w:pPr>
              <w:pStyle w:val="21"/>
              <w:keepNext w:val="0"/>
              <w:keepLines w:val="0"/>
              <w:pageBreakBefore w:val="0"/>
              <w:widowControl w:val="0"/>
              <w:kinsoku/>
              <w:wordWrap/>
              <w:overflowPunct/>
              <w:topLinePunct w:val="0"/>
              <w:autoSpaceDE/>
              <w:autoSpaceDN/>
              <w:bidi w:val="0"/>
              <w:spacing w:line="360" w:lineRule="exact"/>
              <w:ind w:left="0" w:leftChars="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节水激励机制</w:t>
            </w:r>
          </w:p>
        </w:tc>
        <w:tc>
          <w:tcPr>
            <w:tcW w:w="6442" w:type="dxa"/>
            <w:vAlign w:val="center"/>
          </w:tcPr>
          <w:p w14:paraId="5CDB9EBE">
            <w:pPr>
              <w:pStyle w:val="21"/>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本级人民政府对节水项目建设、节水科技创新、节水技术推广应用、节水产业发展等出台补贴或其他激励政策</w:t>
            </w:r>
            <w:r>
              <w:rPr>
                <w:rFonts w:hint="eastAsia" w:cs="宋体"/>
                <w:kern w:val="2"/>
                <w:sz w:val="21"/>
                <w:szCs w:val="21"/>
                <w:lang w:val="en-US" w:eastAsia="zh-CN" w:bidi="ar-SA"/>
              </w:rPr>
              <w:t>，</w:t>
            </w:r>
            <w:r>
              <w:rPr>
                <w:rFonts w:hint="eastAsia" w:ascii="宋体" w:hAnsi="宋体" w:eastAsia="宋体" w:cs="宋体"/>
                <w:kern w:val="2"/>
                <w:sz w:val="21"/>
                <w:szCs w:val="21"/>
                <w:lang w:val="en-US" w:eastAsia="zh-CN" w:bidi="ar-SA"/>
              </w:rPr>
              <w:t>加2分</w:t>
            </w:r>
          </w:p>
        </w:tc>
        <w:tc>
          <w:tcPr>
            <w:tcW w:w="690" w:type="dxa"/>
            <w:vAlign w:val="center"/>
          </w:tcPr>
          <w:p w14:paraId="4586A5C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607" w:type="dxa"/>
            <w:vMerge w:val="restart"/>
            <w:vAlign w:val="center"/>
          </w:tcPr>
          <w:p w14:paraId="1961156B">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财政局</w:t>
            </w:r>
          </w:p>
          <w:p w14:paraId="4EA145A7">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农业农村局</w:t>
            </w:r>
          </w:p>
          <w:p w14:paraId="51A6DD6D">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水利局</w:t>
            </w:r>
          </w:p>
        </w:tc>
      </w:tr>
      <w:tr w14:paraId="420B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768" w:type="dxa"/>
            <w:vMerge w:val="continue"/>
            <w:vAlign w:val="center"/>
          </w:tcPr>
          <w:p w14:paraId="4E90215D">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38E9613B">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37DD3B3F">
            <w:pPr>
              <w:pStyle w:val="21"/>
              <w:keepNext w:val="0"/>
              <w:keepLines w:val="0"/>
              <w:pageBreakBefore w:val="0"/>
              <w:widowControl w:val="0"/>
              <w:kinsoku/>
              <w:wordWrap/>
              <w:overflowPunct/>
              <w:topLinePunct w:val="0"/>
              <w:autoSpaceDE/>
              <w:autoSpaceDN/>
              <w:bidi w:val="0"/>
              <w:spacing w:line="360" w:lineRule="exact"/>
              <w:ind w:left="0" w:leftChars="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节水示范引领</w:t>
            </w:r>
          </w:p>
        </w:tc>
        <w:tc>
          <w:tcPr>
            <w:tcW w:w="6442" w:type="dxa"/>
            <w:vAlign w:val="center"/>
          </w:tcPr>
          <w:p w14:paraId="63BF1AC2">
            <w:pPr>
              <w:pStyle w:val="21"/>
              <w:keepNext w:val="0"/>
              <w:keepLines w:val="0"/>
              <w:pageBreakBefore w:val="0"/>
              <w:widowControl w:val="0"/>
              <w:kinsoku/>
              <w:wordWrap/>
              <w:overflowPunct/>
              <w:topLinePunct w:val="0"/>
              <w:autoSpaceDE/>
              <w:autoSpaceDN/>
              <w:bidi w:val="0"/>
              <w:spacing w:line="360" w:lineRule="exact"/>
              <w:ind w:left="0" w:leftChars="0" w:right="0" w:rightChars="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县域内有企业、公共机构、产品、灌区被评为国家级水效领跑者的，加2分；被评为省级水效领跑者或省级节水标杆的，每个加1分；本项最多加2分</w:t>
            </w:r>
          </w:p>
        </w:tc>
        <w:tc>
          <w:tcPr>
            <w:tcW w:w="690" w:type="dxa"/>
            <w:vAlign w:val="center"/>
          </w:tcPr>
          <w:p w14:paraId="58E2C97C">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607" w:type="dxa"/>
            <w:vMerge w:val="continue"/>
            <w:vAlign w:val="center"/>
          </w:tcPr>
          <w:p w14:paraId="006DFC3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sz w:val="21"/>
                <w:szCs w:val="21"/>
              </w:rPr>
            </w:pPr>
          </w:p>
        </w:tc>
      </w:tr>
      <w:tr w14:paraId="3B81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68" w:type="dxa"/>
            <w:vMerge w:val="continue"/>
            <w:vAlign w:val="center"/>
          </w:tcPr>
          <w:p w14:paraId="33C84873">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5A4336B7">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6CD190CB">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合同节水管理</w:t>
            </w:r>
          </w:p>
        </w:tc>
        <w:tc>
          <w:tcPr>
            <w:tcW w:w="6442" w:type="dxa"/>
            <w:vAlign w:val="center"/>
          </w:tcPr>
          <w:p w14:paraId="6B3A2FCA">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每实施一个合同节水管理项目加1分，本项最多加3分</w:t>
            </w:r>
          </w:p>
        </w:tc>
        <w:tc>
          <w:tcPr>
            <w:tcW w:w="690" w:type="dxa"/>
            <w:vAlign w:val="center"/>
          </w:tcPr>
          <w:p w14:paraId="4034F714">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607" w:type="dxa"/>
            <w:vMerge w:val="continue"/>
            <w:vAlign w:val="center"/>
          </w:tcPr>
          <w:p w14:paraId="26B93231">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textAlignment w:val="auto"/>
              <w:rPr>
                <w:rFonts w:hint="eastAsia" w:ascii="宋体" w:hAnsi="宋体" w:eastAsia="宋体" w:cs="宋体"/>
                <w:sz w:val="21"/>
                <w:szCs w:val="21"/>
              </w:rPr>
            </w:pPr>
          </w:p>
        </w:tc>
      </w:tr>
      <w:tr w14:paraId="1521E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68" w:type="dxa"/>
            <w:vMerge w:val="continue"/>
            <w:vAlign w:val="center"/>
          </w:tcPr>
          <w:p w14:paraId="6622C16E">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1516" w:type="dxa"/>
            <w:vMerge w:val="continue"/>
            <w:vAlign w:val="center"/>
          </w:tcPr>
          <w:p w14:paraId="0F78CE51">
            <w:pPr>
              <w:keepNext w:val="0"/>
              <w:keepLines w:val="0"/>
              <w:pageBreakBefore w:val="0"/>
              <w:widowControl w:val="0"/>
              <w:kinsoku/>
              <w:wordWrap/>
              <w:overflowPunct/>
              <w:topLinePunct w:val="0"/>
              <w:autoSpaceDE/>
              <w:autoSpaceDN/>
              <w:bidi w:val="0"/>
              <w:spacing w:line="360" w:lineRule="exact"/>
              <w:ind w:left="0" w:right="0" w:firstLine="0" w:firstLineChars="0"/>
              <w:jc w:val="center"/>
              <w:textAlignment w:val="auto"/>
              <w:rPr>
                <w:rFonts w:hint="eastAsia" w:ascii="宋体" w:hAnsi="宋体" w:eastAsia="宋体" w:cs="宋体"/>
                <w:sz w:val="21"/>
                <w:szCs w:val="21"/>
              </w:rPr>
            </w:pPr>
          </w:p>
        </w:tc>
        <w:tc>
          <w:tcPr>
            <w:tcW w:w="3423" w:type="dxa"/>
            <w:vAlign w:val="center"/>
          </w:tcPr>
          <w:p w14:paraId="610794BB">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水权市场化交易</w:t>
            </w:r>
          </w:p>
        </w:tc>
        <w:tc>
          <w:tcPr>
            <w:tcW w:w="6442" w:type="dxa"/>
            <w:vAlign w:val="center"/>
          </w:tcPr>
          <w:p w14:paraId="494B407F">
            <w:pPr>
              <w:pStyle w:val="21"/>
              <w:keepNext w:val="0"/>
              <w:keepLines w:val="0"/>
              <w:pageBreakBefore w:val="0"/>
              <w:widowControl w:val="0"/>
              <w:kinsoku/>
              <w:wordWrap/>
              <w:overflowPunct/>
              <w:topLinePunct w:val="0"/>
              <w:autoSpaceDE/>
              <w:autoSpaceDN/>
              <w:bidi w:val="0"/>
              <w:adjustRightInd/>
              <w:snapToGrid/>
              <w:spacing w:line="360" w:lineRule="exact"/>
              <w:ind w:left="0" w:right="0" w:firstLine="0" w:firstLine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每实施一笔水权市场化交易加1分，本项最多加3分</w:t>
            </w:r>
          </w:p>
        </w:tc>
        <w:tc>
          <w:tcPr>
            <w:tcW w:w="690" w:type="dxa"/>
            <w:vAlign w:val="center"/>
          </w:tcPr>
          <w:p w14:paraId="0248EB20">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1607" w:type="dxa"/>
            <w:vMerge w:val="continue"/>
            <w:vAlign w:val="center"/>
          </w:tcPr>
          <w:p w14:paraId="339AC9C8">
            <w:pPr>
              <w:keepNext w:val="0"/>
              <w:keepLines w:val="0"/>
              <w:pageBreakBefore w:val="0"/>
              <w:widowControl w:val="0"/>
              <w:kinsoku/>
              <w:wordWrap/>
              <w:overflowPunct/>
              <w:topLinePunct w:val="0"/>
              <w:autoSpaceDE/>
              <w:autoSpaceDN/>
              <w:bidi w:val="0"/>
              <w:adjustRightInd w:val="0"/>
              <w:snapToGrid w:val="0"/>
              <w:spacing w:line="360" w:lineRule="exact"/>
              <w:ind w:left="0" w:right="0" w:firstLine="0" w:firstLineChars="0"/>
              <w:jc w:val="center"/>
              <w:textAlignment w:val="auto"/>
              <w:rPr>
                <w:rFonts w:hint="eastAsia" w:ascii="宋体" w:hAnsi="宋体" w:eastAsia="宋体" w:cs="宋体"/>
                <w:sz w:val="21"/>
                <w:szCs w:val="21"/>
              </w:rPr>
            </w:pPr>
          </w:p>
        </w:tc>
      </w:tr>
    </w:tbl>
    <w:p w14:paraId="1E469B56">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仿宋_GB2312" w:hAnsi="仿宋_GB2312" w:eastAsia="仿宋_GB2312" w:cs="仿宋_GB2312"/>
          <w:sz w:val="21"/>
          <w:szCs w:val="21"/>
        </w:rPr>
      </w:pPr>
      <w:r>
        <w:rPr>
          <w:rFonts w:hint="eastAsia" w:ascii="楷体_GB2312" w:hAnsi="楷体_GB2312" w:eastAsia="楷体_GB2312" w:cs="楷体_GB2312"/>
          <w:b/>
          <w:bCs/>
          <w:sz w:val="21"/>
          <w:szCs w:val="21"/>
          <w:lang w:val="en-US" w:eastAsia="zh-CN"/>
        </w:rPr>
        <w:t>注：</w:t>
      </w:r>
      <w:r>
        <w:rPr>
          <w:rFonts w:hint="eastAsia" w:ascii="仿宋_GB2312" w:hAnsi="仿宋_GB2312" w:eastAsia="仿宋_GB2312" w:cs="仿宋_GB2312"/>
          <w:sz w:val="21"/>
          <w:szCs w:val="21"/>
        </w:rPr>
        <w:t>[1]标准中涉及相关评价指标要求，应按创建当时国家最新规定执行。</w:t>
      </w:r>
    </w:p>
    <w:p w14:paraId="593D7F05">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[2]如遇缺项，则该项不得分，评价总分按照公式进行折算，折算公式为：评价总分</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实际总得分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加分项得分</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缺项对应分值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加分项得分。加分项不计入缺项</w:t>
      </w:r>
      <w:r>
        <w:rPr>
          <w:rFonts w:hint="eastAsia" w:ascii="仿宋_GB2312" w:hAnsi="仿宋_GB2312" w:eastAsia="仿宋_GB2312" w:cs="仿宋_GB2312"/>
          <w:sz w:val="21"/>
          <w:szCs w:val="21"/>
          <w:lang w:eastAsia="zh-CN"/>
        </w:rPr>
        <w:t>。</w:t>
      </w:r>
    </w:p>
    <w:p w14:paraId="005F73D2">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河南省适用于</w:t>
      </w:r>
      <w:r>
        <w:rPr>
          <w:rFonts w:hint="eastAsia" w:ascii="仿宋_GB2312" w:hAnsi="仿宋_GB2312" w:eastAsia="仿宋_GB2312" w:cs="仿宋_GB2312"/>
          <w:sz w:val="21"/>
          <w:szCs w:val="21"/>
        </w:rPr>
        <w:t>北方地区。</w:t>
      </w:r>
    </w:p>
    <w:p w14:paraId="2A9C21AB">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[4]农业灌溉用水计量率是指有计量设施或者以电折水等间接计量方式的农业取水口灌溉取水量占灌溉总取水量的比例</w:t>
      </w:r>
      <w:r>
        <w:rPr>
          <w:rFonts w:hint="eastAsia" w:ascii="仿宋_GB2312" w:hAnsi="仿宋_GB2312" w:eastAsia="仿宋_GB2312" w:cs="仿宋_GB2312"/>
          <w:sz w:val="21"/>
          <w:szCs w:val="21"/>
          <w:lang w:eastAsia="zh-CN"/>
        </w:rPr>
        <w:t>。</w:t>
      </w:r>
    </w:p>
    <w:p w14:paraId="731C51A8">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[5]工业用水计量率指工业用水计量水量与工业用水总量的比值。</w:t>
      </w:r>
    </w:p>
    <w:p w14:paraId="2D7106F9">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[6]农业水价综合改革实际实施面积是指县级行政区自部署实施农业水价综合改革以来已实施的总面积。</w:t>
      </w:r>
    </w:p>
    <w:p w14:paraId="2D6671FC">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[7]未实施水资源费改税的县域，对水资源费征缴情况进行评价赋分。</w:t>
      </w:r>
    </w:p>
    <w:p w14:paraId="78D5C4EC">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[8]新建、扩建、改建建设项目实施主体包括纳入取水许可管理的用水户和从公共供水管网取水的用水户。</w:t>
      </w:r>
      <w:r>
        <w:rPr>
          <w:sz w:val="32"/>
        </w:rPr>
        <mc:AlternateContent>
          <mc:Choice Requires="wps">
            <w:drawing>
              <wp:anchor distT="0" distB="0" distL="114300" distR="114300" simplePos="0" relativeHeight="251666432" behindDoc="0" locked="0" layoutInCell="1" allowOverlap="1">
                <wp:simplePos x="0" y="0"/>
                <wp:positionH relativeFrom="column">
                  <wp:posOffset>-784860</wp:posOffset>
                </wp:positionH>
                <wp:positionV relativeFrom="paragraph">
                  <wp:posOffset>-5076825</wp:posOffset>
                </wp:positionV>
                <wp:extent cx="730885" cy="294005"/>
                <wp:effectExtent l="0" t="0" r="10795" b="12065"/>
                <wp:wrapNone/>
                <wp:docPr id="14" name="文本框 14"/>
                <wp:cNvGraphicFramePr/>
                <a:graphic xmlns:a="http://schemas.openxmlformats.org/drawingml/2006/main">
                  <a:graphicData uri="http://schemas.microsoft.com/office/word/2010/wordprocessingShape">
                    <wps:wsp>
                      <wps:cNvSpPr txBox="1"/>
                      <wps:spPr>
                        <a:xfrm rot="5400000">
                          <a:off x="0" y="0"/>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804D5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- 12 -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pt;margin-top:-399.75pt;height:23.15pt;width:57.55pt;rotation:5898240f;z-index:251666432;mso-width-relative:page;mso-height-relative:page;" fillcolor="#FFFFFF [3201]" filled="t" stroked="f" coordsize="21600,21600" o:gfxdata="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4+4&#10;Nt0AAAANAQAADwAAAAAAAAABACAAAAAiAAAAZHJzL2Rvd25yZXYueG1sUEsBAhQAFAAAAAgAh07i&#10;QNIiNSlWAgAAngQAAA4AAAAAAAAAAQAgAAAALAEAAGRycy9lMm9Eb2MueG1sUEsFBgAAAAAGAAYA&#10;WQEAAPQFAAAAAA==&#10;">
                <v:fill on="t" focussize="0,0"/>
                <v:stroke on="f" weight="0.5pt"/>
                <v:imagedata o:title=""/>
                <o:lock v:ext="edit" aspectratio="f"/>
                <v:textbox>
                  <w:txbxContent>
                    <w:p w14:paraId="6F804D53">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- 12 -</w:t>
                      </w:r>
                    </w:p>
                  </w:txbxContent>
                </v:textbox>
              </v:shape>
            </w:pict>
          </mc:Fallback>
        </mc:AlternateContent>
      </w:r>
    </w:p>
    <w:p w14:paraId="08C7B3D4">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[9]县域管辖范围内无大中型灌区，按缺项折算处理。</w:t>
      </w:r>
    </w:p>
    <w:p w14:paraId="18257142">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[10]重点用水行业节水型企业建成率指重点用水行业</w:t>
      </w:r>
      <w:r>
        <w:rPr>
          <w:rFonts w:hint="eastAsia" w:ascii="仿宋_GB2312" w:hAnsi="仿宋_GB2312" w:eastAsia="仿宋_GB2312" w:cs="仿宋_GB2312"/>
          <w:sz w:val="21"/>
          <w:szCs w:val="21"/>
          <w:lang w:eastAsia="zh-CN"/>
        </w:rPr>
        <w:t>节水</w:t>
      </w:r>
      <w:r>
        <w:rPr>
          <w:rFonts w:hint="eastAsia" w:ascii="仿宋_GB2312" w:hAnsi="仿宋_GB2312" w:eastAsia="仿宋_GB2312" w:cs="仿宋_GB2312"/>
          <w:sz w:val="21"/>
          <w:szCs w:val="21"/>
        </w:rPr>
        <w:t>型企业数量与重点用水行业企业总数的比值。重点用水行业包括</w:t>
      </w:r>
      <w:r>
        <w:rPr>
          <w:rFonts w:hint="eastAsia" w:ascii="仿宋_GB2312" w:hAnsi="仿宋_GB2312" w:eastAsia="仿宋_GB2312" w:cs="仿宋_GB2312"/>
          <w:sz w:val="21"/>
          <w:szCs w:val="21"/>
          <w:lang w:val="en-US" w:eastAsia="zh-CN"/>
        </w:rPr>
        <w:t>火</w:t>
      </w:r>
      <w:r>
        <w:rPr>
          <w:rFonts w:hint="eastAsia" w:ascii="仿宋_GB2312" w:hAnsi="仿宋_GB2312" w:eastAsia="仿宋_GB2312" w:cs="仿宋_GB2312"/>
          <w:sz w:val="21"/>
          <w:szCs w:val="21"/>
        </w:rPr>
        <w:t>力发电、钢铁、纺织、造纸、石化和化工、食品和发酵等。原则上统计年用水量1万立方米以上的企业；没有年用水量1万立方米以上的重点用水行业企业，按缺项折算处理。</w:t>
      </w:r>
    </w:p>
    <w:p w14:paraId="6CE614FE">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[11]公共机构节水型单位建成率指公共机构节水型单位数量与公共机构总数的比值。公共机构包括县级机关和县直事业单位。</w:t>
      </w:r>
    </w:p>
    <w:p w14:paraId="259B963F">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[12]</w:t>
      </w:r>
      <w:r>
        <w:rPr>
          <w:rFonts w:hint="eastAsia" w:ascii="仿宋_GB2312" w:hAnsi="仿宋_GB2312" w:eastAsia="仿宋_GB2312" w:cs="仿宋_GB2312"/>
          <w:spacing w:val="-6"/>
          <w:sz w:val="21"/>
          <w:szCs w:val="21"/>
        </w:rPr>
        <w:t>节水型居民小区建成率指节水型居民小区数量与居民小区总数的比值。居民小区是指由物业公司统一管理、实行集中供水的城镇居民小区。</w:t>
      </w:r>
    </w:p>
    <w:p w14:paraId="4B4737CD">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[13]公共供水管网漏损率计算：[</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公共供水总量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城镇公共供水注册用户用水量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公共供水总量]</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100%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修正值。公共供水注册用户用水量是指水厂将水供出厂外后，各类注册用户实际使用到的水量，包括计费用水量和免费用水量。计费用水量指收费供应的水量，免费用水量指无偿使用的水量。</w:t>
      </w:r>
    </w:p>
    <w:p w14:paraId="7CE188AA">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[14]公共场所是指公用建筑物、活动场所等</w:t>
      </w:r>
      <w:r>
        <w:rPr>
          <w:rFonts w:hint="eastAsia" w:ascii="仿宋_GB2312" w:hAnsi="仿宋_GB2312" w:eastAsia="仿宋_GB2312" w:cs="仿宋_GB2312"/>
          <w:sz w:val="21"/>
          <w:szCs w:val="21"/>
          <w:lang w:eastAsia="zh-CN"/>
        </w:rPr>
        <w:t>。</w:t>
      </w:r>
    </w:p>
    <w:p w14:paraId="63C57060">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[15]《中华人民共和国实行水效标识的产品目录》规定加施水效标识的产品。</w:t>
      </w:r>
    </w:p>
    <w:p w14:paraId="219ACE2E">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pPr>
      <w:r>
        <w:rPr>
          <w:rFonts w:hint="eastAsia" w:ascii="仿宋_GB2312" w:hAnsi="仿宋_GB2312" w:eastAsia="仿宋_GB2312" w:cs="仿宋_GB2312"/>
          <w:sz w:val="21"/>
          <w:szCs w:val="21"/>
        </w:rPr>
        <w:t>[16]再生水利用率指再生水利用量与污水处理厂处理后水量的比值</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指市政处理部分，不含企业内部循环利用部分</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。再生水指污水经过适当处理后，达到一定的水质指标，满足某种使用要求，可以再次利用的水。</w:t>
      </w:r>
    </w:p>
    <w:p w14:paraId="11E19FCF">
      <w:pPr>
        <w:spacing w:line="572" w:lineRule="exact"/>
        <w:sectPr>
          <w:footerReference r:id="rId5" w:type="default"/>
          <w:footerReference r:id="rId6" w:type="even"/>
          <w:pgSz w:w="16838" w:h="11906" w:orient="landscape"/>
          <w:pgMar w:top="1417" w:right="1417" w:bottom="1417" w:left="1701" w:header="851" w:footer="850" w:gutter="0"/>
          <w:paperSrc/>
          <w:pgNumType w:fmt="numberInDash"/>
          <w:cols w:space="0" w:num="1"/>
          <w:rtlGutter w:val="0"/>
          <w:docGrid w:type="linesAndChars" w:linePitch="312" w:charSpace="0"/>
        </w:sectPr>
      </w:pPr>
      <w:r>
        <w:rPr>
          <w:sz w:val="32"/>
        </w:rPr>
        <mc:AlternateContent>
          <mc:Choice Requires="wps">
            <w:drawing>
              <wp:anchor distT="0" distB="0" distL="114300" distR="114300" simplePos="0" relativeHeight="251667456" behindDoc="0" locked="0" layoutInCell="1" allowOverlap="1">
                <wp:simplePos x="0" y="0"/>
                <wp:positionH relativeFrom="column">
                  <wp:posOffset>-784860</wp:posOffset>
                </wp:positionH>
                <wp:positionV relativeFrom="paragraph">
                  <wp:posOffset>1163320</wp:posOffset>
                </wp:positionV>
                <wp:extent cx="730885" cy="294005"/>
                <wp:effectExtent l="0" t="0" r="10795" b="12065"/>
                <wp:wrapNone/>
                <wp:docPr id="15" name="文本框 15"/>
                <wp:cNvGraphicFramePr/>
                <a:graphic xmlns:a="http://schemas.openxmlformats.org/drawingml/2006/main">
                  <a:graphicData uri="http://schemas.microsoft.com/office/word/2010/wordprocessingShape">
                    <wps:wsp>
                      <wps:cNvSpPr txBox="1"/>
                      <wps:spPr>
                        <a:xfrm rot="5400000">
                          <a:off x="0" y="0"/>
                          <a:ext cx="730885" cy="2940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F9F005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- 13 -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8pt;margin-top:91.6pt;height:23.15pt;width:57.55pt;rotation:5898240f;z-index:251667456;mso-width-relative:page;mso-height-relative:page;" fillcolor="#FFFFFF [3201]" filled="t" stroked="f" coordsize="21600,21600" o:gfxdata="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j4J&#10;b9wAAAALAQAADwAAAAAAAAABACAAAAAiAAAAZHJzL2Rvd25yZXYueG1sUEsBAhQAFAAAAAgAh07i&#10;QCRdU/NXAgAAngQAAA4AAAAAAAAAAQAgAAAAKwEAAGRycy9lMm9Eb2MueG1sUEsFBgAAAAAGAAYA&#10;WQEAAPQFAAAAAA==&#10;">
                <v:fill on="t" focussize="0,0"/>
                <v:stroke on="f" weight="0.5pt"/>
                <v:imagedata o:title=""/>
                <o:lock v:ext="edit" aspectratio="f"/>
                <v:textbox>
                  <w:txbxContent>
                    <w:p w14:paraId="5F9F005E">
                      <w:pPr>
                        <w:keepNext w:val="0"/>
                        <w:keepLines w:val="0"/>
                        <w:pageBreakBefore w:val="0"/>
                        <w:widowControl w:val="0"/>
                        <w:kinsoku/>
                        <w:wordWrap/>
                        <w:overflowPunct/>
                        <w:topLinePunct w:val="0"/>
                        <w:bidi w:val="0"/>
                        <w:adjustRightInd/>
                        <w:snapToGrid/>
                        <w:spacing w:line="300" w:lineRule="exact"/>
                        <w:jc w:val="center"/>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- 13 -</w:t>
                      </w:r>
                    </w:p>
                  </w:txbxContent>
                </v:textbox>
              </v:shape>
            </w:pict>
          </mc:Fallback>
        </mc:AlternateContent>
      </w:r>
    </w:p>
    <w:p w14:paraId="643F8DC7">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hint="eastAsia" w:ascii="黑体" w:hAnsi="黑体" w:eastAsia="黑体" w:cs="黑体"/>
          <w:color w:val="000000"/>
          <w:spacing w:val="15"/>
          <w:sz w:val="32"/>
          <w:szCs w:val="32"/>
          <w:lang w:val="en-US" w:eastAsia="zh-CN"/>
        </w:rPr>
      </w:pPr>
      <w:r>
        <w:rPr>
          <w:rFonts w:hint="eastAsia" w:ascii="黑体" w:hAnsi="黑体" w:eastAsia="黑体" w:cs="黑体"/>
          <w:color w:val="000000"/>
          <w:spacing w:val="15"/>
          <w:sz w:val="32"/>
          <w:szCs w:val="32"/>
        </w:rPr>
        <w:t>附件</w:t>
      </w:r>
      <w:r>
        <w:rPr>
          <w:rFonts w:hint="eastAsia" w:ascii="黑体" w:hAnsi="黑体" w:eastAsia="黑体" w:cs="黑体"/>
          <w:color w:val="000000"/>
          <w:spacing w:val="15"/>
          <w:sz w:val="32"/>
          <w:szCs w:val="32"/>
          <w:lang w:val="en-US" w:eastAsia="zh-CN"/>
        </w:rPr>
        <w:t>3</w:t>
      </w:r>
    </w:p>
    <w:p w14:paraId="3170C7F5">
      <w:pPr>
        <w:keepNext w:val="0"/>
        <w:keepLines w:val="0"/>
        <w:pageBreakBefore w:val="0"/>
        <w:widowControl w:val="0"/>
        <w:kinsoku/>
        <w:wordWrap/>
        <w:overflowPunct/>
        <w:topLinePunct w:val="0"/>
        <w:autoSpaceDE/>
        <w:autoSpaceDN/>
        <w:bidi w:val="0"/>
        <w:adjustRightInd/>
        <w:snapToGrid/>
        <w:spacing w:line="572" w:lineRule="exact"/>
        <w:ind w:left="0" w:firstLine="0" w:firstLineChars="0"/>
        <w:jc w:val="center"/>
        <w:textAlignment w:val="auto"/>
        <w:rPr>
          <w:rFonts w:hint="eastAsia" w:ascii="黑体" w:hAnsi="黑体" w:eastAsia="黑体" w:cs="黑体"/>
          <w:sz w:val="44"/>
          <w:szCs w:val="44"/>
          <w:lang w:val="en-US" w:eastAsia="zh-CN"/>
        </w:rPr>
      </w:pPr>
    </w:p>
    <w:p w14:paraId="11E5C9B9">
      <w:pPr>
        <w:keepNext w:val="0"/>
        <w:keepLines w:val="0"/>
        <w:pageBreakBefore w:val="0"/>
        <w:widowControl w:val="0"/>
        <w:kinsoku/>
        <w:wordWrap/>
        <w:overflowPunct/>
        <w:topLinePunct w:val="0"/>
        <w:autoSpaceDE/>
        <w:autoSpaceDN/>
        <w:bidi w:val="0"/>
        <w:adjustRightInd/>
        <w:snapToGrid/>
        <w:spacing w:line="572" w:lineRule="exact"/>
        <w:ind w:left="0" w:firstLine="0" w:firstLineChars="0"/>
        <w:jc w:val="center"/>
        <w:textAlignment w:val="auto"/>
        <w:rPr>
          <w:rFonts w:hint="default"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color w:val="000000"/>
          <w:spacing w:val="15"/>
          <w:sz w:val="44"/>
          <w:szCs w:val="44"/>
          <w:lang w:val="en-US" w:eastAsia="zh-CN"/>
        </w:rPr>
        <w:t>叶县县域节水型社会达标建设任务清单</w:t>
      </w:r>
    </w:p>
    <w:p w14:paraId="28FBE358">
      <w:pPr>
        <w:keepNext w:val="0"/>
        <w:keepLines w:val="0"/>
        <w:pageBreakBefore w:val="0"/>
        <w:widowControl w:val="0"/>
        <w:kinsoku/>
        <w:wordWrap/>
        <w:overflowPunct/>
        <w:topLinePunct w:val="0"/>
        <w:autoSpaceDE/>
        <w:autoSpaceDN/>
        <w:bidi w:val="0"/>
        <w:adjustRightInd/>
        <w:snapToGrid/>
        <w:spacing w:line="572" w:lineRule="exact"/>
        <w:ind w:left="0" w:firstLine="0" w:firstLineChars="0"/>
        <w:jc w:val="center"/>
        <w:textAlignment w:val="auto"/>
        <w:rPr>
          <w:rFonts w:hint="eastAsia" w:ascii="黑体" w:hAnsi="黑体" w:eastAsia="黑体" w:cs="黑体"/>
          <w:sz w:val="44"/>
          <w:szCs w:val="44"/>
        </w:rPr>
      </w:pPr>
    </w:p>
    <w:p w14:paraId="382DA79C">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一、用水定额管理</w:t>
      </w:r>
      <w:r>
        <w:rPr>
          <w:rFonts w:hint="eastAsia" w:ascii="黑体" w:hAnsi="黑体" w:eastAsia="黑体" w:cs="黑体"/>
          <w:sz w:val="32"/>
          <w:szCs w:val="32"/>
          <w:lang w:eastAsia="zh-CN"/>
        </w:rPr>
        <w:t>（</w:t>
      </w:r>
      <w:r>
        <w:rPr>
          <w:rFonts w:hint="eastAsia" w:ascii="黑体" w:hAnsi="黑体" w:eastAsia="黑体" w:cs="黑体"/>
          <w:sz w:val="32"/>
          <w:szCs w:val="32"/>
        </w:rPr>
        <w:t>责任单位：水利局</w:t>
      </w:r>
      <w:r>
        <w:rPr>
          <w:rFonts w:hint="eastAsia" w:ascii="黑体" w:hAnsi="黑体" w:eastAsia="黑体" w:cs="黑体"/>
          <w:sz w:val="32"/>
          <w:szCs w:val="32"/>
          <w:lang w:eastAsia="zh-CN"/>
        </w:rPr>
        <w:t>）</w:t>
      </w:r>
    </w:p>
    <w:p w14:paraId="3A60BEE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提供两家以上水资源论证报告书。</w:t>
      </w:r>
    </w:p>
    <w:p w14:paraId="4423E1B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提供两家以上取水许可项目审批手续。</w:t>
      </w:r>
    </w:p>
    <w:p w14:paraId="528DCCA5">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提供两家以上节水载体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企业、单位、小区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申报书。</w:t>
      </w:r>
    </w:p>
    <w:p w14:paraId="15AB9B71">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提供两家以上单位用水计划核准表。</w:t>
      </w:r>
    </w:p>
    <w:p w14:paraId="5131A3EA">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提供两家节水评价内容。</w:t>
      </w:r>
    </w:p>
    <w:p w14:paraId="616A773A">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提供全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现有取水许可户综合信息。</w:t>
      </w:r>
    </w:p>
    <w:p w14:paraId="124B4AD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二、计划用水管理</w:t>
      </w:r>
      <w:r>
        <w:rPr>
          <w:rFonts w:hint="eastAsia" w:ascii="黑体" w:hAnsi="黑体" w:eastAsia="黑体" w:cs="黑体"/>
          <w:sz w:val="32"/>
          <w:szCs w:val="32"/>
          <w:lang w:eastAsia="zh-CN"/>
        </w:rPr>
        <w:t>（</w:t>
      </w:r>
      <w:r>
        <w:rPr>
          <w:rFonts w:hint="eastAsia" w:ascii="黑体" w:hAnsi="黑体" w:eastAsia="黑体" w:cs="黑体"/>
          <w:sz w:val="32"/>
          <w:szCs w:val="32"/>
        </w:rPr>
        <w:t>责任单位：水利局</w:t>
      </w:r>
      <w:r>
        <w:rPr>
          <w:rFonts w:hint="eastAsia" w:ascii="黑体" w:hAnsi="黑体" w:eastAsia="黑体" w:cs="黑体"/>
          <w:sz w:val="32"/>
          <w:szCs w:val="32"/>
          <w:lang w:eastAsia="zh-CN"/>
        </w:rPr>
        <w:t>）</w:t>
      </w:r>
    </w:p>
    <w:p w14:paraId="0724AC4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提供下达计划用水单位用水计划的通知。</w:t>
      </w:r>
    </w:p>
    <w:p w14:paraId="62F36AD7">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提供计划用水核定方案的通知。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附计划用水单位年度用水计划核定表</w:t>
      </w:r>
      <w:r>
        <w:rPr>
          <w:rFonts w:hint="eastAsia" w:ascii="仿宋_GB2312" w:hAnsi="仿宋_GB2312" w:eastAsia="仿宋_GB2312" w:cs="仿宋_GB2312"/>
          <w:sz w:val="32"/>
          <w:szCs w:val="32"/>
          <w:lang w:eastAsia="zh-CN"/>
        </w:rPr>
        <w:t>）</w:t>
      </w:r>
    </w:p>
    <w:p w14:paraId="3FD78E8E">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提供已纳入计划用水管理户基本信息。</w:t>
      </w:r>
    </w:p>
    <w:p w14:paraId="0B891600">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提供应纳入计划用水管理非居民用水户名单。</w:t>
      </w:r>
    </w:p>
    <w:p w14:paraId="0EEE100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的取水许可综合信息。</w:t>
      </w:r>
    </w:p>
    <w:p w14:paraId="0E8A978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提供两家以上计划用水管理户用水管理档案。</w:t>
      </w:r>
    </w:p>
    <w:p w14:paraId="1DAD602A">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三、用水计量</w:t>
      </w:r>
      <w:r>
        <w:rPr>
          <w:rFonts w:hint="eastAsia" w:ascii="黑体" w:hAnsi="黑体" w:eastAsia="黑体" w:cs="黑体"/>
          <w:sz w:val="32"/>
          <w:szCs w:val="32"/>
          <w:lang w:eastAsia="zh-CN"/>
        </w:rPr>
        <w:t>（</w:t>
      </w:r>
      <w:r>
        <w:rPr>
          <w:rFonts w:hint="eastAsia" w:ascii="黑体" w:hAnsi="黑体" w:eastAsia="黑体" w:cs="黑体"/>
          <w:sz w:val="32"/>
          <w:szCs w:val="32"/>
        </w:rPr>
        <w:t>责任单位：工信局、农业农村局、水利局</w:t>
      </w:r>
      <w:r>
        <w:rPr>
          <w:rFonts w:hint="eastAsia" w:ascii="黑体" w:hAnsi="黑体" w:eastAsia="黑体" w:cs="黑体"/>
          <w:sz w:val="32"/>
          <w:szCs w:val="32"/>
          <w:lang w:eastAsia="zh-CN"/>
        </w:rPr>
        <w:t>）</w:t>
      </w:r>
    </w:p>
    <w:p w14:paraId="75AC23D9">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提供农业灌溉用水计量率相关材料。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农业用水计量情况说明、农业灌溉计量水量统计、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以电折水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系数测定材料、</w:t>
      </w:r>
      <w:r>
        <w:rPr>
          <w:rFonts w:hint="eastAsia" w:ascii="仿宋_GB2312" w:hAnsi="仿宋_GB2312" w:eastAsia="仿宋_GB2312" w:cs="仿宋_GB2312"/>
          <w:sz w:val="32"/>
          <w:szCs w:val="32"/>
        </w:rPr>
        <w:t>农业灌溉用电证明、计量设施照片</w:t>
      </w:r>
      <w:r>
        <w:rPr>
          <w:rFonts w:hint="eastAsia" w:ascii="仿宋_GB2312" w:hAnsi="仿宋_GB2312" w:eastAsia="仿宋_GB2312" w:cs="仿宋_GB2312"/>
          <w:sz w:val="32"/>
          <w:szCs w:val="32"/>
          <w:lang w:eastAsia="zh-CN"/>
        </w:rPr>
        <w:t>）</w:t>
      </w:r>
    </w:p>
    <w:p w14:paraId="46C76B9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2.提供工业用水计量率相关材料。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全县工业企业名单、工业计量水量统计、计量设施照片</w:t>
      </w:r>
      <w:r>
        <w:rPr>
          <w:rFonts w:hint="eastAsia" w:ascii="仿宋_GB2312" w:hAnsi="仿宋_GB2312" w:eastAsia="仿宋_GB2312" w:cs="仿宋_GB2312"/>
          <w:sz w:val="32"/>
          <w:szCs w:val="32"/>
          <w:lang w:eastAsia="zh-CN"/>
        </w:rPr>
        <w:t>）</w:t>
      </w:r>
    </w:p>
    <w:p w14:paraId="49338C1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规模以上工业企业名单。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规模以上工业企业指年主营业务收入在2000万以上的工业企业</w:t>
      </w:r>
      <w:r>
        <w:rPr>
          <w:rFonts w:hint="eastAsia" w:ascii="仿宋_GB2312" w:hAnsi="仿宋_GB2312" w:eastAsia="仿宋_GB2312" w:cs="仿宋_GB2312"/>
          <w:sz w:val="32"/>
          <w:szCs w:val="32"/>
          <w:lang w:eastAsia="zh-CN"/>
        </w:rPr>
        <w:t>）</w:t>
      </w:r>
    </w:p>
    <w:p w14:paraId="3E302CC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四、水价机制</w:t>
      </w:r>
      <w:r>
        <w:rPr>
          <w:rFonts w:hint="eastAsia" w:ascii="黑体" w:hAnsi="黑体" w:eastAsia="黑体" w:cs="黑体"/>
          <w:sz w:val="32"/>
          <w:szCs w:val="32"/>
          <w:lang w:eastAsia="zh-CN"/>
        </w:rPr>
        <w:t>（</w:t>
      </w:r>
      <w:r>
        <w:rPr>
          <w:rFonts w:hint="eastAsia" w:ascii="黑体" w:hAnsi="黑体" w:eastAsia="黑体" w:cs="黑体"/>
          <w:sz w:val="32"/>
          <w:szCs w:val="32"/>
        </w:rPr>
        <w:t>责任单位：发改委、</w:t>
      </w:r>
      <w:r>
        <w:rPr>
          <w:rFonts w:hint="eastAsia" w:ascii="黑体" w:hAnsi="黑体" w:eastAsia="黑体" w:cs="黑体"/>
          <w:sz w:val="32"/>
          <w:szCs w:val="32"/>
          <w:lang w:val="en-US" w:eastAsia="zh-CN"/>
        </w:rPr>
        <w:t>财政局</w:t>
      </w:r>
      <w:r>
        <w:rPr>
          <w:rFonts w:hint="eastAsia" w:ascii="黑体" w:hAnsi="黑体" w:eastAsia="黑体" w:cs="黑体"/>
          <w:sz w:val="32"/>
          <w:szCs w:val="32"/>
        </w:rPr>
        <w:t>、农业农村局、住建局、水利局、税务局</w:t>
      </w:r>
      <w:r>
        <w:rPr>
          <w:rFonts w:hint="eastAsia" w:ascii="黑体" w:hAnsi="黑体" w:eastAsia="黑体" w:cs="黑体"/>
          <w:sz w:val="32"/>
          <w:szCs w:val="32"/>
          <w:lang w:eastAsia="zh-CN"/>
        </w:rPr>
        <w:t>）</w:t>
      </w:r>
    </w:p>
    <w:p w14:paraId="65C2CCB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提供农业水价改革相关资料。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农业水价改革方案、年度计划下达文件和年度计划完成情况证明材料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水价精准补贴证明材料</w:t>
      </w:r>
      <w:r>
        <w:rPr>
          <w:rFonts w:hint="eastAsia" w:ascii="仿宋_GB2312" w:hAnsi="仿宋_GB2312" w:eastAsia="仿宋_GB2312" w:cs="仿宋_GB2312"/>
          <w:sz w:val="32"/>
          <w:szCs w:val="32"/>
          <w:lang w:eastAsia="zh-CN"/>
        </w:rPr>
        <w:t>）</w:t>
      </w:r>
    </w:p>
    <w:p w14:paraId="445C252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提供实行居民阶梯式水价制度相关资料。</w:t>
      </w:r>
    </w:p>
    <w:p w14:paraId="192687CD">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提供实行非居民用水计划超定额累进加价制度相关资料。</w:t>
      </w:r>
    </w:p>
    <w:p w14:paraId="16C30CBE">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提供水资源费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征缴相关资料。</w:t>
      </w:r>
    </w:p>
    <w:p w14:paraId="587323F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提供水资源费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足额征缴证明。</w:t>
      </w:r>
    </w:p>
    <w:p w14:paraId="2DD712A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五、节水评价</w:t>
      </w:r>
      <w:r>
        <w:rPr>
          <w:rFonts w:hint="eastAsia" w:ascii="黑体" w:hAnsi="黑体" w:eastAsia="黑体" w:cs="黑体"/>
          <w:sz w:val="32"/>
          <w:szCs w:val="32"/>
          <w:lang w:eastAsia="zh-CN"/>
        </w:rPr>
        <w:t>（</w:t>
      </w:r>
      <w:r>
        <w:rPr>
          <w:rFonts w:hint="eastAsia" w:ascii="黑体" w:hAnsi="黑体" w:eastAsia="黑体" w:cs="黑体"/>
          <w:sz w:val="32"/>
          <w:szCs w:val="32"/>
        </w:rPr>
        <w:t>责任单位：水利局</w:t>
      </w:r>
      <w:r>
        <w:rPr>
          <w:rFonts w:hint="eastAsia" w:ascii="黑体" w:hAnsi="黑体" w:eastAsia="黑体" w:cs="黑体"/>
          <w:sz w:val="32"/>
          <w:szCs w:val="32"/>
          <w:lang w:eastAsia="zh-CN"/>
        </w:rPr>
        <w:t>）</w:t>
      </w:r>
    </w:p>
    <w:p w14:paraId="0DFE49E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提供水资源论证中节水评价资料。</w:t>
      </w:r>
    </w:p>
    <w:p w14:paraId="6C6CBD2E">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六、节水“三同时”管理</w:t>
      </w:r>
      <w:r>
        <w:rPr>
          <w:rFonts w:hint="eastAsia" w:ascii="黑体" w:hAnsi="黑体" w:eastAsia="黑体" w:cs="黑体"/>
          <w:sz w:val="32"/>
          <w:szCs w:val="32"/>
          <w:lang w:eastAsia="zh-CN"/>
        </w:rPr>
        <w:t>（</w:t>
      </w:r>
      <w:r>
        <w:rPr>
          <w:rFonts w:hint="eastAsia" w:ascii="黑体" w:hAnsi="黑体" w:eastAsia="黑体" w:cs="黑体"/>
          <w:sz w:val="32"/>
          <w:szCs w:val="32"/>
        </w:rPr>
        <w:t>责任单位：发改委、住建局、水利局</w:t>
      </w:r>
      <w:r>
        <w:rPr>
          <w:rFonts w:hint="eastAsia" w:ascii="黑体" w:hAnsi="黑体" w:eastAsia="黑体" w:cs="黑体"/>
          <w:sz w:val="32"/>
          <w:szCs w:val="32"/>
          <w:lang w:eastAsia="zh-CN"/>
        </w:rPr>
        <w:t>）</w:t>
      </w:r>
    </w:p>
    <w:p w14:paraId="6CA468EC">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提供关于加强建设项目节水“三同时”工作相关文件。</w:t>
      </w:r>
    </w:p>
    <w:p w14:paraId="7CA748B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rPr>
        <w:t>出具近两年竣工投产的新建、改建、扩建项目清单。</w:t>
      </w:r>
    </w:p>
    <w:p w14:paraId="2EAB84D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、水利</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出具节水“三同时”工作落实情况说明。</w:t>
      </w:r>
    </w:p>
    <w:p w14:paraId="0E996C3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至少提供两个建设项目中节水“三同时”完整资料。</w:t>
      </w:r>
    </w:p>
    <w:p w14:paraId="3A35B321">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七、节水载体建设</w:t>
      </w:r>
      <w:r>
        <w:rPr>
          <w:rFonts w:hint="eastAsia" w:ascii="黑体" w:hAnsi="黑体" w:eastAsia="黑体" w:cs="黑体"/>
          <w:sz w:val="32"/>
          <w:szCs w:val="32"/>
          <w:lang w:eastAsia="zh-CN"/>
        </w:rPr>
        <w:t>（</w:t>
      </w:r>
      <w:r>
        <w:rPr>
          <w:rFonts w:hint="eastAsia" w:ascii="黑体" w:hAnsi="黑体" w:eastAsia="黑体" w:cs="黑体"/>
          <w:sz w:val="32"/>
          <w:szCs w:val="32"/>
        </w:rPr>
        <w:t>责任单位：机关事务中心、工信局、住建局、水利局</w:t>
      </w:r>
      <w:r>
        <w:rPr>
          <w:rFonts w:hint="eastAsia" w:ascii="黑体" w:hAnsi="黑体" w:eastAsia="黑体" w:cs="黑体"/>
          <w:sz w:val="32"/>
          <w:szCs w:val="32"/>
          <w:lang w:eastAsia="zh-CN"/>
        </w:rPr>
        <w:t>）</w:t>
      </w:r>
    </w:p>
    <w:p w14:paraId="4CE44682">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节水型灌区</w:t>
      </w:r>
    </w:p>
    <w:p w14:paraId="690198B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提供通过省级复核确认的面积占全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灌溉面积的50%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70%以上的大中型节水型灌区创建资料。</w:t>
      </w:r>
    </w:p>
    <w:p w14:paraId="7E2F60CA">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节水型灌区申报书。</w:t>
      </w:r>
    </w:p>
    <w:p w14:paraId="3A0FC1E1">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（二）节水型企业</w:t>
      </w:r>
    </w:p>
    <w:p w14:paraId="3239F94B">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1.工信局和水利局联合组织重点用水企业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重点用水行业包括钢铁、火电、纺织染整、造纸、石油炼制、化工、食品制造等行业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开展节水型企业创建工作，达标率50%以上。</w:t>
      </w:r>
    </w:p>
    <w:p w14:paraId="6FE3519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重点用水</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名单。</w:t>
      </w:r>
    </w:p>
    <w:p w14:paraId="614EDFB7">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3.节水型企业申报书。</w:t>
      </w:r>
    </w:p>
    <w:p w14:paraId="39BE2AB5">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（三）节水型单位</w:t>
      </w:r>
    </w:p>
    <w:p w14:paraId="0C617AA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1.机关事务中心和水利局按照创建标准，开展行政机关节水型单位创建工作，达标率50%以上。</w:t>
      </w:r>
    </w:p>
    <w:p w14:paraId="09E613AC">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6"/>
          <w:sz w:val="32"/>
          <w:szCs w:val="32"/>
        </w:rPr>
        <w:t>机关事务中心提供所有县级机关单位及县直事业单位名单</w:t>
      </w:r>
      <w:r>
        <w:rPr>
          <w:rFonts w:hint="eastAsia" w:ascii="仿宋_GB2312" w:hAnsi="仿宋_GB2312" w:eastAsia="仿宋_GB2312" w:cs="仿宋_GB2312"/>
          <w:sz w:val="32"/>
          <w:szCs w:val="32"/>
        </w:rPr>
        <w:t>。</w:t>
      </w:r>
    </w:p>
    <w:p w14:paraId="2744370D">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3.节水型单位申报书。</w:t>
      </w:r>
    </w:p>
    <w:p w14:paraId="74498B9B">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（四）节水型居民小区</w:t>
      </w:r>
    </w:p>
    <w:p w14:paraId="353B77B9">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房产事务中心</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val="en-US" w:eastAsia="zh-CN"/>
        </w:rPr>
        <w:t>供由物业公司统一管理、实行集中供水的城镇居民小区名录。</w:t>
      </w:r>
    </w:p>
    <w:p w14:paraId="6E42E802">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.房产事务中心</w:t>
      </w:r>
      <w:r>
        <w:rPr>
          <w:rFonts w:hint="eastAsia" w:ascii="仿宋_GB2312" w:hAnsi="仿宋_GB2312" w:eastAsia="仿宋_GB2312" w:cs="仿宋_GB2312"/>
          <w:color w:val="auto"/>
          <w:sz w:val="32"/>
          <w:szCs w:val="32"/>
        </w:rPr>
        <w:t>和水利局按照创建标准，开展县级节水型小区创建工作，达标率20%以上。</w:t>
      </w:r>
    </w:p>
    <w:p w14:paraId="60D1DBA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3.节水型居民小区申报书。</w:t>
      </w:r>
    </w:p>
    <w:p w14:paraId="1A8A96CD">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八、供水管网漏损控制</w:t>
      </w:r>
      <w:r>
        <w:rPr>
          <w:rFonts w:hint="eastAsia" w:ascii="黑体" w:hAnsi="黑体" w:eastAsia="黑体" w:cs="黑体"/>
          <w:sz w:val="32"/>
          <w:szCs w:val="32"/>
          <w:lang w:eastAsia="zh-CN"/>
        </w:rPr>
        <w:t>（</w:t>
      </w:r>
      <w:r>
        <w:rPr>
          <w:rFonts w:hint="eastAsia" w:ascii="黑体" w:hAnsi="黑体" w:eastAsia="黑体" w:cs="黑体"/>
          <w:sz w:val="32"/>
          <w:szCs w:val="32"/>
        </w:rPr>
        <w:t>责任单位：住建局</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盐都水务有限公司）</w:t>
      </w:r>
    </w:p>
    <w:p w14:paraId="0AACA0F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1.提供证明漏损率的文件和报表。</w:t>
      </w:r>
    </w:p>
    <w:p w14:paraId="331BEAF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2.提供近两年供水管网漏损情况统计说明。</w:t>
      </w:r>
    </w:p>
    <w:p w14:paraId="4BEA606C">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九、生活节水器具推广</w:t>
      </w:r>
      <w:r>
        <w:rPr>
          <w:rFonts w:hint="eastAsia" w:ascii="黑体" w:hAnsi="黑体" w:eastAsia="黑体" w:cs="黑体"/>
          <w:sz w:val="32"/>
          <w:szCs w:val="32"/>
          <w:lang w:eastAsia="zh-CN"/>
        </w:rPr>
        <w:t>（</w:t>
      </w:r>
      <w:r>
        <w:rPr>
          <w:rFonts w:hint="eastAsia" w:ascii="黑体" w:hAnsi="黑体" w:eastAsia="黑体" w:cs="黑体"/>
          <w:sz w:val="32"/>
          <w:szCs w:val="32"/>
        </w:rPr>
        <w:t>责任单位：住建局、市场监管局、</w:t>
      </w:r>
      <w:r>
        <w:rPr>
          <w:rFonts w:hint="eastAsia" w:ascii="黑体" w:hAnsi="黑体" w:eastAsia="黑体" w:cs="黑体"/>
          <w:sz w:val="32"/>
          <w:szCs w:val="32"/>
          <w:lang w:val="en-US" w:eastAsia="zh-CN"/>
        </w:rPr>
        <w:t>房产事务中心</w:t>
      </w:r>
      <w:r>
        <w:rPr>
          <w:rFonts w:hint="eastAsia" w:ascii="黑体" w:hAnsi="黑体" w:eastAsia="黑体" w:cs="黑体"/>
          <w:sz w:val="32"/>
          <w:szCs w:val="32"/>
        </w:rPr>
        <w:t>、水利局</w:t>
      </w:r>
      <w:r>
        <w:rPr>
          <w:rFonts w:hint="eastAsia" w:ascii="黑体" w:hAnsi="黑体" w:eastAsia="黑体" w:cs="黑体"/>
          <w:sz w:val="32"/>
          <w:szCs w:val="32"/>
          <w:lang w:eastAsia="zh-CN"/>
        </w:rPr>
        <w:t>）</w:t>
      </w:r>
    </w:p>
    <w:p w14:paraId="73F33AD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1.协调配合对公共场所、居民家庭等节水标识和节水器具的安装使用情况进行现场调查，并出具情况说明。</w:t>
      </w:r>
    </w:p>
    <w:p w14:paraId="06B6628F">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2.水利局提供节水器具推广工作总结。</w:t>
      </w:r>
    </w:p>
    <w:p w14:paraId="2A2C3E5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十、非常规水源利用</w:t>
      </w:r>
      <w:r>
        <w:rPr>
          <w:rFonts w:hint="eastAsia" w:ascii="黑体" w:hAnsi="黑体" w:eastAsia="黑体" w:cs="黑体"/>
          <w:sz w:val="32"/>
          <w:szCs w:val="32"/>
          <w:lang w:eastAsia="zh-CN"/>
        </w:rPr>
        <w:t>（</w:t>
      </w:r>
      <w:r>
        <w:rPr>
          <w:rFonts w:hint="eastAsia" w:ascii="黑体" w:hAnsi="黑体" w:eastAsia="黑体" w:cs="黑体"/>
          <w:sz w:val="32"/>
          <w:szCs w:val="32"/>
        </w:rPr>
        <w:t>责任单位：住建局、城管局</w:t>
      </w:r>
      <w:r>
        <w:rPr>
          <w:rFonts w:hint="eastAsia" w:ascii="黑体" w:hAnsi="黑体" w:eastAsia="黑体" w:cs="黑体"/>
          <w:sz w:val="32"/>
          <w:szCs w:val="32"/>
          <w:lang w:eastAsia="zh-CN"/>
        </w:rPr>
        <w:t>）</w:t>
      </w:r>
    </w:p>
    <w:p w14:paraId="780E0835">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（一）加强非常规水源配置利用</w:t>
      </w:r>
    </w:p>
    <w:p w14:paraId="4770222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提供非常规水源用水户名单。</w:t>
      </w:r>
    </w:p>
    <w:p w14:paraId="33DAFF2F">
      <w:pPr>
        <w:keepNext w:val="0"/>
        <w:keepLines w:val="0"/>
        <w:pageBreakBefore w:val="0"/>
        <w:widowControl w:val="0"/>
        <w:kinsoku/>
        <w:wordWrap/>
        <w:overflowPunct/>
        <w:topLinePunct w:val="0"/>
        <w:autoSpaceDE/>
        <w:autoSpaceDN/>
        <w:bidi w:val="0"/>
        <w:adjustRightInd/>
        <w:snapToGrid/>
        <w:spacing w:line="572" w:lineRule="exact"/>
        <w:ind w:left="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（二）再生水利用率</w:t>
      </w:r>
    </w:p>
    <w:p w14:paraId="5F00C57E">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1.提供再生水利用情况说明。</w:t>
      </w:r>
    </w:p>
    <w:p w14:paraId="385F3C23">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2.污水处理厂全年处理的再生水量数据。</w:t>
      </w:r>
    </w:p>
    <w:p w14:paraId="66F020E4">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3.提供再生水水质检测报告。</w:t>
      </w:r>
    </w:p>
    <w:p w14:paraId="454DB2D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4.提供再生水主要用途资料。</w:t>
      </w:r>
    </w:p>
    <w:p w14:paraId="6FF185F9">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十一、节水宣传</w:t>
      </w:r>
      <w:r>
        <w:rPr>
          <w:rFonts w:hint="eastAsia" w:ascii="黑体" w:hAnsi="黑体" w:eastAsia="黑体" w:cs="黑体"/>
          <w:sz w:val="32"/>
          <w:szCs w:val="32"/>
          <w:lang w:eastAsia="zh-CN"/>
        </w:rPr>
        <w:t>（</w:t>
      </w:r>
      <w:r>
        <w:rPr>
          <w:rFonts w:hint="eastAsia" w:ascii="黑体" w:hAnsi="黑体" w:eastAsia="黑体" w:cs="黑体"/>
          <w:sz w:val="32"/>
          <w:szCs w:val="32"/>
        </w:rPr>
        <w:t>责任单位：水利局、住建局、机关事务中心、工信局、文广旅局、教体局</w:t>
      </w:r>
      <w:r>
        <w:rPr>
          <w:rFonts w:hint="eastAsia" w:ascii="黑体" w:hAnsi="黑体" w:eastAsia="黑体" w:cs="黑体"/>
          <w:sz w:val="32"/>
          <w:szCs w:val="32"/>
          <w:lang w:eastAsia="zh-CN"/>
        </w:rPr>
        <w:t>）</w:t>
      </w:r>
    </w:p>
    <w:p w14:paraId="6C2224D2">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1.提供开展节水宣传教育活动，文件、照片等资料。</w:t>
      </w:r>
    </w:p>
    <w:p w14:paraId="350A7F26">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2.提供宣传进机关、进校园、进企业、进社区、进农村各项宣传相关资料。</w:t>
      </w:r>
    </w:p>
    <w:p w14:paraId="2F28400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十二、加分项</w:t>
      </w:r>
      <w:r>
        <w:rPr>
          <w:rFonts w:hint="eastAsia" w:ascii="黑体" w:hAnsi="黑体" w:eastAsia="黑体" w:cs="黑体"/>
          <w:sz w:val="32"/>
          <w:szCs w:val="32"/>
          <w:lang w:eastAsia="zh-CN"/>
        </w:rPr>
        <w:t>（</w:t>
      </w:r>
      <w:r>
        <w:rPr>
          <w:rFonts w:hint="eastAsia" w:ascii="黑体" w:hAnsi="黑体" w:eastAsia="黑体" w:cs="黑体"/>
          <w:sz w:val="32"/>
          <w:szCs w:val="32"/>
        </w:rPr>
        <w:t>责任单位：财政局、农业农村局、水利局</w:t>
      </w:r>
      <w:r>
        <w:rPr>
          <w:rFonts w:hint="eastAsia" w:ascii="黑体" w:hAnsi="黑体" w:eastAsia="黑体" w:cs="黑体"/>
          <w:sz w:val="32"/>
          <w:szCs w:val="32"/>
          <w:lang w:eastAsia="zh-CN"/>
        </w:rPr>
        <w:t>）</w:t>
      </w:r>
    </w:p>
    <w:p w14:paraId="33D375D8">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县域有企业、公共机构、产品、灌区被评为国家级或省级节水标杆单位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相关证明材料。</w:t>
      </w:r>
    </w:p>
    <w:p w14:paraId="7ABFF8B7">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政府出台的节水奖励政策。</w:t>
      </w:r>
    </w:p>
    <w:p w14:paraId="1E782640">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对节水建设项目、节水技术推广等实行补贴或优惠政策的相关证明。</w:t>
      </w:r>
    </w:p>
    <w:p w14:paraId="75FF7DAD">
      <w:pPr>
        <w:keepNext w:val="0"/>
        <w:keepLines w:val="0"/>
        <w:pageBreakBefore w:val="0"/>
        <w:widowControl w:val="0"/>
        <w:kinsoku/>
        <w:wordWrap/>
        <w:overflowPunct/>
        <w:topLinePunct w:val="0"/>
        <w:autoSpaceDE/>
        <w:autoSpaceDN/>
        <w:bidi w:val="0"/>
        <w:adjustRightInd/>
        <w:snapToGrid/>
        <w:spacing w:line="572"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农业高效节水灌溉相关资料统计及相关激励文件。</w:t>
      </w:r>
    </w:p>
    <w:p w14:paraId="1A6475CB">
      <w:pPr>
        <w:pStyle w:val="3"/>
        <w:keepNext w:val="0"/>
        <w:keepLines w:val="0"/>
        <w:pageBreakBefore w:val="0"/>
        <w:widowControl w:val="0"/>
        <w:kinsoku/>
        <w:wordWrap/>
        <w:overflowPunct/>
        <w:topLinePunct w:val="0"/>
        <w:autoSpaceDE/>
        <w:autoSpaceDN/>
        <w:bidi w:val="0"/>
        <w:adjustRightInd/>
        <w:snapToGrid/>
        <w:spacing w:line="572" w:lineRule="exact"/>
        <w:ind w:left="0"/>
        <w:textAlignment w:val="auto"/>
        <w:rPr>
          <w:sz w:val="32"/>
          <w:szCs w:val="32"/>
        </w:rPr>
      </w:pPr>
    </w:p>
    <w:p w14:paraId="1B842D1F">
      <w:pPr>
        <w:keepNext w:val="0"/>
        <w:keepLines w:val="0"/>
        <w:pageBreakBefore w:val="0"/>
        <w:widowControl w:val="0"/>
        <w:kinsoku/>
        <w:wordWrap/>
        <w:overflowPunct/>
        <w:topLinePunct w:val="0"/>
        <w:autoSpaceDE/>
        <w:autoSpaceDN/>
        <w:bidi w:val="0"/>
        <w:adjustRightInd/>
        <w:snapToGrid/>
        <w:spacing w:line="572" w:lineRule="exact"/>
        <w:ind w:left="0"/>
        <w:textAlignment w:val="auto"/>
        <w:rPr>
          <w:rFonts w:ascii="仿宋" w:hAnsi="仿宋" w:eastAsia="仿宋" w:cs="仿宋"/>
          <w:sz w:val="21"/>
          <w:szCs w:val="21"/>
        </w:rPr>
      </w:pPr>
    </w:p>
    <w:p w14:paraId="5CEEFB69">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34770743">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7E483BB5">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0BE713FC">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0FD76000">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355FD8C9">
      <w:pPr>
        <w:keepNext w:val="0"/>
        <w:keepLines w:val="0"/>
        <w:pageBreakBefore w:val="0"/>
        <w:widowControl w:val="0"/>
        <w:kinsoku/>
        <w:wordWrap/>
        <w:overflowPunct/>
        <w:topLinePunct w:val="0"/>
        <w:autoSpaceDE/>
        <w:autoSpaceDN/>
        <w:bidi w:val="0"/>
        <w:adjustRightInd/>
        <w:snapToGrid/>
        <w:spacing w:line="572" w:lineRule="exact"/>
        <w:ind w:left="0"/>
        <w:textAlignment w:val="auto"/>
      </w:pPr>
    </w:p>
    <w:p w14:paraId="11217448">
      <w:pPr>
        <w:pStyle w:val="7"/>
        <w:ind w:left="0" w:leftChars="0" w:firstLine="0" w:firstLineChars="0"/>
      </w:pPr>
    </w:p>
    <w:p w14:paraId="52C9C79B">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768A31A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68E27284">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AF5A355">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0724E25">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4D08B88">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3F4F881C">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80E6E9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7BBB1CB0">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9B26C4C">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867F6DA">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6267A8E3">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33472D67">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5C30CAB">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959F39E">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7F546DD">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6F8CEFB5">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3B7390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4AAED760">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AB01EDC">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43ED979D">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6535DC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6FBFC1A">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7B903C2F">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657B2C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r>
        <w:rPr>
          <w:sz w:val="32"/>
        </w:rPr>
        <mc:AlternateContent>
          <mc:Choice Requires="wps">
            <w:drawing>
              <wp:anchor distT="0" distB="0" distL="114300" distR="114300" simplePos="0" relativeHeight="251670528" behindDoc="0" locked="0" layoutInCell="1" allowOverlap="1">
                <wp:simplePos x="0" y="0"/>
                <wp:positionH relativeFrom="column">
                  <wp:posOffset>4398645</wp:posOffset>
                </wp:positionH>
                <wp:positionV relativeFrom="paragraph">
                  <wp:posOffset>167640</wp:posOffset>
                </wp:positionV>
                <wp:extent cx="1767205" cy="746125"/>
                <wp:effectExtent l="0" t="0" r="4445" b="15875"/>
                <wp:wrapNone/>
                <wp:docPr id="18" name="矩形 18"/>
                <wp:cNvGraphicFramePr/>
                <a:graphic xmlns:a="http://schemas.openxmlformats.org/drawingml/2006/main">
                  <a:graphicData uri="http://schemas.microsoft.com/office/word/2010/wordprocessingShape">
                    <wps:wsp>
                      <wps:cNvSpPr/>
                      <wps:spPr>
                        <a:xfrm>
                          <a:off x="5406390" y="9127490"/>
                          <a:ext cx="1767205" cy="7461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6.35pt;margin-top:13.2pt;height:58.75pt;width:139.15pt;z-index:251670528;v-text-anchor:middle;mso-width-relative:page;mso-height-relative:page;" fillcolor="#FFFFFF [3212]" filled="t" stroked="f" coordsize="21600,21600" o:gfxdata="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3NRO99YAAAAKAQAADwAAAAAAAAABACAAAAAiAAAAZHJzL2Rvd25yZXYueG1sUEsB&#10;AhQAFAAAAAgAh07iQHj3FOJpAgAAwgQAAA4AAAAAAAAAAQAgAAAAJQEAAGRycy9lMm9Eb2MueG1s&#10;UEsFBgAAAAAGAAYAWQEAAAAGAAAAAA==&#10;">
                <v:fill on="t" focussize="0,0"/>
                <v:stroke on="f" weight="2pt"/>
                <v:imagedata o:title=""/>
                <o:lock v:ext="edit" aspectratio="f"/>
              </v:rect>
            </w:pict>
          </mc:Fallback>
        </mc:AlternateContent>
      </w:r>
    </w:p>
    <w:p w14:paraId="34FFA9D1">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B8D4278">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9B0DF94">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B71DF29">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0126EBF">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50231F8">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61C0D937">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E13024F">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42F44C28">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5042A50">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128FD2C">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75022B0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DEB3577">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30DA114">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424A447">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0FBC4E8">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2E347EE7">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1C30C4EC">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08B7B532">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4AF60BBA">
      <w:pPr>
        <w:pStyle w:val="7"/>
        <w:keepNext w:val="0"/>
        <w:keepLines w:val="0"/>
        <w:pageBreakBefore w:val="0"/>
        <w:kinsoku/>
        <w:wordWrap/>
        <w:overflowPunct/>
        <w:topLinePunct w:val="0"/>
        <w:bidi w:val="0"/>
        <w:spacing w:line="572" w:lineRule="exact"/>
        <w:ind w:left="0" w:leftChars="0" w:firstLine="0" w:firstLineChars="0"/>
        <w:textAlignment w:val="auto"/>
        <w:rPr>
          <w:rFonts w:hint="eastAsia" w:cs="仿宋_GB2312"/>
          <w:color w:val="auto"/>
          <w:spacing w:val="0"/>
          <w:kern w:val="0"/>
          <w:sz w:val="32"/>
          <w:szCs w:val="32"/>
          <w:lang w:val="en-US" w:eastAsia="zh-CN"/>
        </w:rPr>
      </w:pPr>
    </w:p>
    <w:p w14:paraId="5B0A0861">
      <w:pPr>
        <w:keepNext w:val="0"/>
        <w:keepLines w:val="0"/>
        <w:pageBreakBefore w:val="0"/>
        <w:widowControl/>
        <w:kinsoku/>
        <w:wordWrap/>
        <w:overflowPunct/>
        <w:topLinePunct w:val="0"/>
        <w:bidi w:val="0"/>
        <w:spacing w:line="572" w:lineRule="exact"/>
        <w:ind w:left="0" w:leftChars="0"/>
        <w:textAlignment w:val="auto"/>
        <w:rPr>
          <w:rFonts w:hint="eastAsia" w:ascii="仿宋_GB2312" w:hAnsi="Calibri" w:eastAsia="仿宋_GB2312" w:cs="宋体"/>
          <w:color w:val="auto"/>
          <w:kern w:val="0"/>
          <w:sz w:val="32"/>
          <w:szCs w:val="32"/>
        </w:rPr>
      </w:pPr>
    </w:p>
    <w:p w14:paraId="358FDF63">
      <w:pPr>
        <w:keepNext w:val="0"/>
        <w:keepLines w:val="0"/>
        <w:pageBreakBefore w:val="0"/>
        <w:widowControl/>
        <w:kinsoku/>
        <w:wordWrap/>
        <w:overflowPunct/>
        <w:topLinePunct w:val="0"/>
        <w:autoSpaceDE/>
        <w:autoSpaceDN/>
        <w:bidi w:val="0"/>
        <w:adjustRightInd/>
        <w:snapToGrid/>
        <w:spacing w:line="572" w:lineRule="exact"/>
        <w:textAlignment w:val="auto"/>
      </w:pPr>
      <w:r>
        <w:rPr>
          <w:sz w:val="32"/>
        </w:rPr>
        <mc:AlternateContent>
          <mc:Choice Requires="wps">
            <w:drawing>
              <wp:anchor distT="0" distB="0" distL="114300" distR="114300" simplePos="0" relativeHeight="251671552" behindDoc="0" locked="0" layoutInCell="1" allowOverlap="1">
                <wp:simplePos x="0" y="0"/>
                <wp:positionH relativeFrom="column">
                  <wp:posOffset>-36195</wp:posOffset>
                </wp:positionH>
                <wp:positionV relativeFrom="paragraph">
                  <wp:posOffset>511810</wp:posOffset>
                </wp:positionV>
                <wp:extent cx="1767205" cy="746125"/>
                <wp:effectExtent l="0" t="0" r="4445" b="15875"/>
                <wp:wrapNone/>
                <wp:docPr id="19" name="矩形 19"/>
                <wp:cNvGraphicFramePr/>
                <a:graphic xmlns:a="http://schemas.openxmlformats.org/drawingml/2006/main">
                  <a:graphicData uri="http://schemas.microsoft.com/office/word/2010/wordprocessingShape">
                    <wps:wsp>
                      <wps:cNvSpPr/>
                      <wps:spPr>
                        <a:xfrm>
                          <a:off x="0" y="0"/>
                          <a:ext cx="1767205" cy="74612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pt;margin-top:40.3pt;height:58.75pt;width:139.15pt;z-index:251671552;v-text-anchor:middle;mso-width-relative:page;mso-height-relative:page;" fillcolor="#FFFFFF [3212]" filled="t" stroked="f" coordsize="21600,21600" o:gfxdata="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f0&#10;vJTVAAAACQEAAA8AAAAAAAAAAQAgAAAAIgAAAGRycy9kb3ducmV2LnhtbFBLAQIUABQAAAAIAIdO&#10;4kCQGIIzXwIAALYEAAAOAAAAAAAAAAEAIAAAACQBAABkcnMvZTJvRG9jLnhtbFBLBQYAAAAABgAG&#10;AFkBAAD1BQAAAAA=&#10;">
                <v:fill on="t" focussize="0,0"/>
                <v:stroke on="f" weight="2pt"/>
                <v:imagedata o:title=""/>
                <o:lock v:ext="edit" aspectratio="f"/>
              </v:rect>
            </w:pict>
          </mc:Fallback>
        </mc:AlternateContent>
      </w:r>
      <w:r>
        <w:rPr>
          <w:rFonts w:ascii="仿宋_GB2312" w:hAnsi="Calibri" w:eastAsia="仿宋_GB2312" w:cs="黑体"/>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401955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65pt;height:0.05pt;width:441pt;z-index:251661312;mso-width-relative:page;mso-height-relative:page;" filled="f" stroked="t" coordsize="21600,21600" o:gfxdata="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2Bk+u1AAAAAYB&#10;AAAPAAAAAAAAAAEAIAAAACIAAABkcnMvZG93bnJldi54bWxQSwECFAAUAAAACACHTuJADVniyOYB&#10;AACsAwAADgAAAAAAAAABACAAAAAjAQAAZHJzL2Uyb0RvYy54bWxQSwUGAAAAAAYABgBZAQAAewUA&#10;AAAA&#10;">
                <v:fill on="f" focussize="0,0"/>
                <v:stroke color="#000000" joinstyle="round"/>
                <v:imagedata o:title=""/>
                <o:lock v:ext="edit" aspectratio="f"/>
              </v:line>
            </w:pict>
          </mc:Fallback>
        </mc:AlternateContent>
      </w:r>
      <w:r>
        <w:rPr>
          <w:rFonts w:ascii="仿宋_GB2312" w:hAnsi="Calibri" w:eastAsia="仿宋_GB2312" w:cs="黑体"/>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53340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4.2pt;height:0.05pt;width:441pt;z-index:251662336;mso-width-relative:page;mso-height-relative:page;" filled="f" stroked="t" coordsize="21600,21600" o:gfxdata="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ViUO7TAAAABAEA&#10;AA8AAAAAAAAAAQAgAAAAIgAAAGRycy9kb3ducmV2LnhtbFBLAQIUABQAAAAIAIdO4kCD9Svu5gEA&#10;AKwDAAAOAAAAAAAAAAEAIAAAACIBAABkcnMvZTJvRG9jLnhtbFBLBQYAAAAABgAGAFkBAAB6BQAA&#10;AAA=&#10;">
                <v:fill on="f" focussize="0,0"/>
                <v:stroke color="#000000" joinstyle="round"/>
                <v:imagedata o:title=""/>
                <o:lock v:ext="edit" aspectratio="f"/>
              </v:line>
            </w:pict>
          </mc:Fallback>
        </mc:AlternateContent>
      </w:r>
      <w:r>
        <w:rPr>
          <w:rFonts w:hint="eastAsia" w:ascii="仿宋_GB2312" w:hAnsi="Calibri" w:eastAsia="仿宋_GB2312" w:cs="宋体"/>
          <w:color w:val="auto"/>
          <w:kern w:val="0"/>
          <w:sz w:val="28"/>
          <w:szCs w:val="28"/>
        </w:rPr>
        <w:t xml:space="preserve">  </w:t>
      </w:r>
      <w:r>
        <w:rPr>
          <w:rFonts w:hint="eastAsia" w:ascii="仿宋_GB2312" w:hAnsi="仿宋_GB2312" w:eastAsia="仿宋_GB2312" w:cs="仿宋_GB2312"/>
          <w:color w:val="auto"/>
          <w:kern w:val="0"/>
          <w:sz w:val="28"/>
          <w:szCs w:val="28"/>
        </w:rPr>
        <w:t xml:space="preserve">叶县人民政府办公室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202</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6</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26</w:t>
      </w:r>
      <w:r>
        <w:rPr>
          <w:rFonts w:hint="eastAsia" w:ascii="仿宋_GB2312" w:hAnsi="仿宋_GB2312" w:eastAsia="仿宋_GB2312" w:cs="仿宋_GB2312"/>
          <w:color w:val="auto"/>
          <w:kern w:val="0"/>
          <w:sz w:val="28"/>
          <w:szCs w:val="28"/>
        </w:rPr>
        <w:t>日印发</w:t>
      </w:r>
    </w:p>
    <w:sectPr>
      <w:footerReference r:id="rId7" w:type="default"/>
      <w:footerReference r:id="rId8" w:type="even"/>
      <w:pgSz w:w="11906" w:h="16838"/>
      <w:pgMar w:top="2098" w:right="1474" w:bottom="1928" w:left="1587"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1F072F42-128D-4A96-B101-7CE2442F44ED}"/>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ECD83CE7-6546-40E8-B459-1A7E4C4DF5C8}"/>
  </w:font>
  <w:font w:name="仿宋_GB2312">
    <w:panose1 w:val="02010609030101010101"/>
    <w:charset w:val="86"/>
    <w:family w:val="auto"/>
    <w:pitch w:val="default"/>
    <w:sig w:usb0="00000001" w:usb1="080E0000" w:usb2="00000000" w:usb3="00000000" w:csb0="00040000" w:csb1="00000000"/>
    <w:embedRegular r:id="rId3" w:fontKey="{46914223-892C-4724-9986-C385A27D7EB8}"/>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embedRegular r:id="rId4" w:fontKey="{F8C008CC-33EB-4848-B62A-60D9343F2D0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5" w:fontKey="{4B16CDDD-A31D-463C-A56A-781F640578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F3D5C">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4947920</wp:posOffset>
              </wp:positionH>
              <wp:positionV relativeFrom="paragraph">
                <wp:posOffset>-229870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DD605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9.6pt;margin-top:-18.1pt;height:144pt;width:144pt;mso-position-horizontal-relative:margin;mso-wrap-style:none;z-index:251659264;mso-width-relative:page;mso-height-relative:page;" filled="f" stroked="f" coordsize="21600,21600" o:gfxdata="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CWmL8fZAAAADAEAAA8AAAAAAAAAAQAgAAAAIgAAAGRycy9kb3ducmV2Lnht&#10;bFBLAQIUABQAAAAIAIdO4kBfyKa93AIAACQGAAAOAAAAAAAAAAEAIAAAACgBAABkcnMvZTJvRG9j&#10;LnhtbFBLBQYAAAAABgAGAFkBAAB2BgAAAAA=&#10;">
              <v:fill on="f" focussize="0,0"/>
              <v:stroke on="f" weight="0.5pt"/>
              <v:imagedata o:title=""/>
              <o:lock v:ext="edit" aspectratio="f"/>
              <v:textbox inset="0mm,0mm,0mm,0mm" style="mso-fit-shape-to-text:t;">
                <w:txbxContent>
                  <w:p w14:paraId="02DD605D">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C2CF">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287020</wp:posOffset>
              </wp:positionH>
              <wp:positionV relativeFrom="paragraph">
                <wp:posOffset>-229870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3F8A5C3">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6pt;margin-top:-18.1pt;height:144pt;width:144pt;mso-position-horizontal-relative:margin;mso-wrap-style:none;z-index:251660288;mso-width-relative:page;mso-height-relative:page;" filled="f" stroked="f" coordsize="21600,21600" o:gfxdata="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7KuvfdcAAAAKAQAADwAAAAAAAAABACAAAAAiAAAAZHJzL2Rvd25yZXYueG1s&#10;UEsBAhQAFAAAAAgAh07iQD0YRyTdAgAAJAYAAA4AAAAAAAAAAQAgAAAAJgEAAGRycy9lMm9Eb2Mu&#10;eG1sUEsFBgAAAAAGAAYAWQEAAHUGAAAAAA==&#10;">
              <v:fill on="f" focussize="0,0"/>
              <v:stroke on="f" weight="0.5pt"/>
              <v:imagedata o:title=""/>
              <o:lock v:ext="edit" aspectratio="f"/>
              <v:textbox inset="0mm,0mm,0mm,0mm" style="mso-fit-shape-to-text:t;">
                <w:txbxContent>
                  <w:p w14:paraId="23F8A5C3">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BDA8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CACB3">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5806">
    <w:pPr>
      <w:pStyle w:val="9"/>
    </w:pPr>
    <w:r>
      <w:rPr>
        <w:sz w:val="18"/>
      </w:rPr>
      <mc:AlternateContent>
        <mc:Choice Requires="wps">
          <w:drawing>
            <wp:anchor distT="0" distB="0" distL="114300" distR="114300" simplePos="0" relativeHeight="251664384" behindDoc="0" locked="0" layoutInCell="1" allowOverlap="1">
              <wp:simplePos x="0" y="0"/>
              <wp:positionH relativeFrom="margin">
                <wp:posOffset>4847590</wp:posOffset>
              </wp:positionH>
              <wp:positionV relativeFrom="paragraph">
                <wp:posOffset>-194945</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ED5AD7">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1.7pt;margin-top:-15.35pt;height:144pt;width:144pt;mso-position-horizontal-relative:margin;mso-wrap-style:none;z-index:251664384;mso-width-relative:page;mso-height-relative:page;" filled="f" stroked="f" coordsize="21600,21600" o:gfxdata="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jPWv3ZAAAADAEAAA8AAAAAAAAAAQAgAAAAIgAAAGRycy9kb3ducmV2Lnht&#10;bFBLAQIUABQAAAAIAIdO4kDrADh6MQIAAGMEAAAOAAAAAAAAAAEAIAAAACgBAABkcnMvZTJvRG9j&#10;LnhtbFBLBQYAAAAABgAGAFkBAADLBQAAAAA=&#10;">
              <v:fill on="f" focussize="0,0"/>
              <v:stroke on="f" weight="0.5pt"/>
              <v:imagedata o:title=""/>
              <o:lock v:ext="edit" aspectratio="f"/>
              <v:textbox inset="0mm,0mm,0mm,0mm" style="mso-fit-shape-to-text:t;">
                <w:txbxContent>
                  <w:p w14:paraId="5DED5AD7">
                    <w:pPr>
                      <w:pStyle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- 9 -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5B10">
    <w:pPr>
      <w:pStyle w:val="9"/>
    </w:pPr>
    <w:r>
      <w:rPr>
        <w:sz w:val="18"/>
      </w:rPr>
      <mc:AlternateContent>
        <mc:Choice Requires="wps">
          <w:drawing>
            <wp:anchor distT="0" distB="0" distL="114300" distR="114300" simplePos="0" relativeHeight="251663360" behindDoc="0" locked="0" layoutInCell="1" allowOverlap="1">
              <wp:simplePos x="0" y="0"/>
              <wp:positionH relativeFrom="margin">
                <wp:posOffset>274955</wp:posOffset>
              </wp:positionH>
              <wp:positionV relativeFrom="paragraph">
                <wp:posOffset>-183515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3A618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65pt;margin-top:-14.45pt;height:144pt;width:144pt;mso-position-horizontal-relative:margin;mso-wrap-style:none;z-index:251663360;mso-width-relative:page;mso-height-relative:page;" filled="f" stroked="f" coordsize="21600,21600" o:gfxdata="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WrcztcAAAAKAQAADwAAAAAAAAABACAAAAAiAAAAZHJzL2Rvd25yZXYueG1s&#10;UEsBAhQAFAAAAAgAh07iQBOH7cfdAgAAJgYAAA4AAAAAAAAAAQAgAAAAJgEAAGRycy9lMm9Eb2Mu&#10;eG1sUEsFBgAAAAAGAAYAWQEAAHUGAAAAAA==&#10;">
              <v:fill on="f" focussize="0,0"/>
              <v:stroke on="f" weight="0.5pt"/>
              <v:imagedata o:title=""/>
              <o:lock v:ext="edit" aspectratio="f"/>
              <v:textbox inset="0mm,0mm,0mm,0mm" style="mso-fit-shape-to-text:t;">
                <w:txbxContent>
                  <w:p w14:paraId="4B3A6180">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mExMTQ3OTI4NThiYzQ5OGQwMGMxMjFkYTdmNWMifQ=="/>
  </w:docVars>
  <w:rsids>
    <w:rsidRoot w:val="003E5867"/>
    <w:rsid w:val="000B1C09"/>
    <w:rsid w:val="00132FCA"/>
    <w:rsid w:val="003E5867"/>
    <w:rsid w:val="00532C8E"/>
    <w:rsid w:val="00536ED0"/>
    <w:rsid w:val="00590BF9"/>
    <w:rsid w:val="007B29C9"/>
    <w:rsid w:val="00A1671D"/>
    <w:rsid w:val="00F73280"/>
    <w:rsid w:val="02DA6EFA"/>
    <w:rsid w:val="05143C4F"/>
    <w:rsid w:val="063C6D8F"/>
    <w:rsid w:val="07D47986"/>
    <w:rsid w:val="084F33CB"/>
    <w:rsid w:val="0AB7577D"/>
    <w:rsid w:val="0D113E56"/>
    <w:rsid w:val="0DC72DD8"/>
    <w:rsid w:val="0FDD12BC"/>
    <w:rsid w:val="102C4947"/>
    <w:rsid w:val="16F83161"/>
    <w:rsid w:val="17B67874"/>
    <w:rsid w:val="19F45B80"/>
    <w:rsid w:val="1FE3647B"/>
    <w:rsid w:val="21690C01"/>
    <w:rsid w:val="23BE3486"/>
    <w:rsid w:val="23CB1CCC"/>
    <w:rsid w:val="243065FB"/>
    <w:rsid w:val="248166DC"/>
    <w:rsid w:val="25CF1565"/>
    <w:rsid w:val="26373905"/>
    <w:rsid w:val="29CA5CAE"/>
    <w:rsid w:val="29E277A3"/>
    <w:rsid w:val="2BB138D1"/>
    <w:rsid w:val="2CD627ED"/>
    <w:rsid w:val="2F7C41F6"/>
    <w:rsid w:val="2F8B54BB"/>
    <w:rsid w:val="2FF67AD2"/>
    <w:rsid w:val="31B31137"/>
    <w:rsid w:val="31CD0D39"/>
    <w:rsid w:val="35B53FBD"/>
    <w:rsid w:val="35D05364"/>
    <w:rsid w:val="36017203"/>
    <w:rsid w:val="36F2701F"/>
    <w:rsid w:val="38F3638C"/>
    <w:rsid w:val="3A1A26EF"/>
    <w:rsid w:val="3BE35D9E"/>
    <w:rsid w:val="3D1D4660"/>
    <w:rsid w:val="401C378B"/>
    <w:rsid w:val="42206C63"/>
    <w:rsid w:val="43CF02A3"/>
    <w:rsid w:val="44B52849"/>
    <w:rsid w:val="450E5498"/>
    <w:rsid w:val="491D3F73"/>
    <w:rsid w:val="49BE123B"/>
    <w:rsid w:val="4B9F509C"/>
    <w:rsid w:val="4CED15BB"/>
    <w:rsid w:val="4E7B76FB"/>
    <w:rsid w:val="51B00003"/>
    <w:rsid w:val="53FC16E4"/>
    <w:rsid w:val="553B1C50"/>
    <w:rsid w:val="57CA34A1"/>
    <w:rsid w:val="58EF3B66"/>
    <w:rsid w:val="5CA2679A"/>
    <w:rsid w:val="65075D34"/>
    <w:rsid w:val="650B526E"/>
    <w:rsid w:val="68F33A5E"/>
    <w:rsid w:val="6AB9400F"/>
    <w:rsid w:val="6BCE135A"/>
    <w:rsid w:val="6C515AE7"/>
    <w:rsid w:val="70691651"/>
    <w:rsid w:val="740A500A"/>
    <w:rsid w:val="745A0D15"/>
    <w:rsid w:val="75CE3ED8"/>
    <w:rsid w:val="794744F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6"/>
    <w:autoRedefine/>
    <w:qFormat/>
    <w:uiPriority w:val="0"/>
    <w:pPr>
      <w:keepNext/>
      <w:keepLines/>
      <w:spacing w:before="260" w:after="260" w:line="416" w:lineRule="auto"/>
      <w:outlineLvl w:val="1"/>
    </w:pPr>
    <w:rPr>
      <w:rFonts w:ascii="Cambria" w:hAnsi="Cambria" w:cs="黑体"/>
      <w:b/>
      <w:bCs/>
      <w:sz w:val="32"/>
      <w:szCs w:val="32"/>
    </w:rPr>
  </w:style>
  <w:style w:type="paragraph" w:styleId="6">
    <w:name w:val="heading 3"/>
    <w:basedOn w:val="1"/>
    <w:next w:val="1"/>
    <w:link w:val="17"/>
    <w:autoRedefine/>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firstLineChars="100"/>
    </w:pPr>
    <w:rPr>
      <w:rFonts w:hint="eastAsia"/>
      <w:sz w:val="32"/>
    </w:r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7">
    <w:name w:val="Body Text Indent 2"/>
    <w:basedOn w:val="1"/>
    <w:qFormat/>
    <w:uiPriority w:val="0"/>
    <w:pPr>
      <w:ind w:left="630" w:leftChars="300" w:firstLine="320" w:firstLineChars="100"/>
      <w:jc w:val="left"/>
    </w:pPr>
    <w:rPr>
      <w:sz w:val="32"/>
    </w:rPr>
  </w:style>
  <w:style w:type="paragraph" w:styleId="8">
    <w:name w:val="Balloon Text"/>
    <w:basedOn w:val="1"/>
    <w:link w:val="18"/>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customStyle="1" w:styleId="15">
    <w:name w:val="标题 1 Char"/>
    <w:basedOn w:val="12"/>
    <w:link w:val="4"/>
    <w:autoRedefine/>
    <w:semiHidden/>
    <w:qFormat/>
    <w:uiPriority w:val="0"/>
    <w:rPr>
      <w:rFonts w:ascii="Times New Roman" w:hAnsi="Times New Roman" w:eastAsia="宋体" w:cs="Times New Roman"/>
      <w:b/>
      <w:bCs/>
      <w:kern w:val="44"/>
      <w:sz w:val="44"/>
      <w:szCs w:val="44"/>
    </w:rPr>
  </w:style>
  <w:style w:type="character" w:customStyle="1" w:styleId="16">
    <w:name w:val="标题 2 Char"/>
    <w:basedOn w:val="12"/>
    <w:link w:val="5"/>
    <w:autoRedefine/>
    <w:semiHidden/>
    <w:qFormat/>
    <w:uiPriority w:val="0"/>
    <w:rPr>
      <w:rFonts w:ascii="Cambria" w:hAnsi="Cambria" w:eastAsia="宋体" w:cs="黑体"/>
      <w:b/>
      <w:bCs/>
      <w:sz w:val="32"/>
      <w:szCs w:val="32"/>
    </w:rPr>
  </w:style>
  <w:style w:type="character" w:customStyle="1" w:styleId="17">
    <w:name w:val="标题 3 Char"/>
    <w:basedOn w:val="12"/>
    <w:link w:val="6"/>
    <w:autoRedefine/>
    <w:semiHidden/>
    <w:qFormat/>
    <w:uiPriority w:val="0"/>
    <w:rPr>
      <w:rFonts w:ascii="Times New Roman" w:hAnsi="Times New Roman" w:eastAsia="宋体" w:cs="Times New Roman"/>
      <w:b/>
      <w:bCs/>
      <w:sz w:val="32"/>
      <w:szCs w:val="32"/>
    </w:rPr>
  </w:style>
  <w:style w:type="character" w:customStyle="1" w:styleId="18">
    <w:name w:val="批注框文本 Char"/>
    <w:basedOn w:val="12"/>
    <w:link w:val="8"/>
    <w:autoRedefine/>
    <w:semiHidden/>
    <w:qFormat/>
    <w:uiPriority w:val="0"/>
    <w:rPr>
      <w:rFonts w:ascii="Times New Roman" w:hAnsi="Times New Roman" w:eastAsia="宋体" w:cs="Times New Roman"/>
      <w:sz w:val="18"/>
      <w:szCs w:val="18"/>
    </w:rPr>
  </w:style>
  <w:style w:type="character" w:customStyle="1" w:styleId="19">
    <w:name w:val="页脚 Char"/>
    <w:basedOn w:val="12"/>
    <w:link w:val="9"/>
    <w:autoRedefine/>
    <w:semiHidden/>
    <w:qFormat/>
    <w:uiPriority w:val="0"/>
    <w:rPr>
      <w:rFonts w:ascii="Times New Roman" w:hAnsi="Times New Roman" w:eastAsia="宋体" w:cs="Times New Roman"/>
      <w:sz w:val="18"/>
      <w:szCs w:val="18"/>
    </w:rPr>
  </w:style>
  <w:style w:type="character" w:customStyle="1" w:styleId="20">
    <w:name w:val="页眉 Char"/>
    <w:basedOn w:val="12"/>
    <w:link w:val="10"/>
    <w:autoRedefine/>
    <w:semiHidden/>
    <w:qFormat/>
    <w:uiPriority w:val="0"/>
    <w:rPr>
      <w:rFonts w:ascii="Times New Roman" w:hAnsi="Times New Roman" w:eastAsia="宋体" w:cs="Times New Roman"/>
      <w:sz w:val="18"/>
      <w:szCs w:val="18"/>
    </w:rPr>
  </w:style>
  <w:style w:type="paragraph" w:customStyle="1" w:styleId="21">
    <w:name w:val="Table Text"/>
    <w:basedOn w:val="1"/>
    <w:autoRedefine/>
    <w:semiHidden/>
    <w:qFormat/>
    <w:uiPriority w:val="0"/>
    <w:rPr>
      <w:rFonts w:ascii="宋体" w:hAnsi="宋体" w:eastAsia="宋体" w:cs="宋体"/>
      <w:sz w:val="16"/>
      <w:szCs w:val="16"/>
      <w:lang w:val="en-US" w:eastAsia="en-US" w:bidi="ar-SA"/>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7516</Words>
  <Characters>7785</Characters>
  <Lines>43</Lines>
  <Paragraphs>12</Paragraphs>
  <TotalTime>0</TotalTime>
  <ScaleCrop>false</ScaleCrop>
  <LinksUpToDate>false</LinksUpToDate>
  <CharactersWithSpaces>7824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2018-07-09T10:06:00Z</dcterms:created>
  <dc:creator>songt.bian</dc:creator>
  <cp:lastModifiedBy>圣达文印部。李东伟:15537517966</cp:lastModifiedBy>
  <cp:lastPrinted>2024-06-11T02:13:00Z</cp:lastPrinted>
  <dcterms:modified xsi:type="dcterms:W3CDTF">2024-06-26T07:16:16Z</dcterms:modified>
  <dc:title>LHT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BB6782C4F01A461C8A39464964C80609_13</vt:lpwstr>
  </property>
</Properties>
</file>