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9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叶县自然资源局国有土地使用权招拍挂出让成交公示</w:t>
      </w:r>
    </w:p>
    <w:p>
      <w:pPr>
        <w:shd w:val="clear" w:color="auto" w:fill="FFFFFF"/>
        <w:adjustRightInd/>
        <w:snapToGrid/>
        <w:spacing w:after="0" w:line="30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叶挂公示〔2023〕5号</w:t>
      </w:r>
    </w:p>
    <w:p>
      <w:pPr>
        <w:shd w:val="clear" w:color="auto" w:fill="FFFFFF"/>
        <w:adjustRightInd/>
        <w:snapToGrid/>
        <w:spacing w:after="0" w:line="30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挂牌出让 3 宗国有土地使用权。现将有关情况公示如下：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1636"/>
        <w:gridCol w:w="1284"/>
        <w:gridCol w:w="2213"/>
        <w:gridCol w:w="1284"/>
        <w:gridCol w:w="1013"/>
        <w:gridCol w:w="36"/>
        <w:gridCol w:w="36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2023-22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11.991618公顷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东至平顶山倍安德塑化有限公司，西至化工二路，南至国有储备用地，北至沙河四路。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50年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工业用地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4138万元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工业用地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11.991618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河南神马芳纶技术开发有限公司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2023-05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1.462981公顷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东至隆鑫大道，西至国有储备用地，南至国有储备用地，北至国有储备用地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50年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工业用地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549万元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工业用地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1.462981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河南萱泽科技有限公司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6"/>
        <w:gridCol w:w="1698"/>
        <w:gridCol w:w="1307"/>
        <w:gridCol w:w="2083"/>
        <w:gridCol w:w="1307"/>
        <w:gridCol w:w="1013"/>
        <w:gridCol w:w="36"/>
        <w:gridCol w:w="36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2023-11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3.81245公顷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东至化工一路，西至河南神马尼龙化工有限责任公司，南至沙河五路，北至沙河四路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50年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工业用地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1373万元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工业用地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3.81245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河南神马氢化学有限责任公司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二、公示期：2023年11月22日 至 2023年11月28日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三、该宗地双方已签订成交确认书，在30日内签订出让合同，相关事宜在合</w:t>
      </w:r>
      <w:bookmarkStart w:id="0" w:name="_GoBack"/>
      <w:bookmarkEnd w:id="0"/>
      <w:r>
        <w:rPr>
          <w:rFonts w:hint="eastAsia" w:ascii="微软雅黑" w:hAnsi="微软雅黑" w:cs="Arial"/>
          <w:color w:val="333333"/>
          <w:sz w:val="24"/>
          <w:szCs w:val="24"/>
        </w:rPr>
        <w:t>同中约定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四、联系方式：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联系单位：叶县自然资源局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单位地址：叶县新文化路东段北侧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邮政编码：467200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 系 人：屈先生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联系电话：0375-6115581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电子邮件：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2023年11月21日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C33E10"/>
    <w:rsid w:val="00D31D50"/>
    <w:rsid w:val="00D504B6"/>
    <w:rsid w:val="7FD7B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-tex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</Words>
  <Characters>778</Characters>
  <Lines>6</Lines>
  <Paragraphs>1</Paragraphs>
  <TotalTime>3</TotalTime>
  <ScaleCrop>false</ScaleCrop>
  <LinksUpToDate>false</LinksUpToDate>
  <CharactersWithSpaces>913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2024-06-13T11:06:01Z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