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57"/>
          <w:sz w:val="48"/>
          <w:szCs w:val="48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57"/>
          <w:sz w:val="48"/>
          <w:szCs w:val="48"/>
          <w:lang w:eastAsia="zh-CN"/>
        </w:rPr>
        <w:t>叶县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57"/>
          <w:sz w:val="48"/>
          <w:szCs w:val="48"/>
        </w:rPr>
        <w:t>人民政府</w:t>
      </w:r>
    </w:p>
    <w:p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u w:val="none"/>
          <w:lang w:eastAsia="zh-CN"/>
        </w:rPr>
        <w:t>拟征收土地补偿安置方案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u w:val="none"/>
        </w:rPr>
        <w:t>公告</w:t>
      </w:r>
    </w:p>
    <w:p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</w:p>
    <w:p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  <w:u w:val="none"/>
        </w:rPr>
      </w:pP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</w:rPr>
        <w:t>〔202</w:t>
      </w: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1</w:t>
      </w: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</w:rPr>
        <w:t>〕</w:t>
      </w: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13</w:t>
      </w: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</w:rPr>
        <w:t>号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560" w:firstLineChars="200"/>
        <w:jc w:val="both"/>
        <w:textAlignment w:val="auto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根据《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中华人民共和国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土地管理法》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等法律法规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的规定，依据《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叶县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人民政府土地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征收启动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公告》（〔202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〕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号）和土地现状调查结果，现将《征地补偿安置方案》公告如下：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拟征收土地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的位置、范围和权属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49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pacing w:val="-3"/>
          <w:sz w:val="28"/>
          <w:szCs w:val="28"/>
          <w:lang w:val="en-US" w:eastAsia="zh-CN"/>
        </w:rPr>
        <w:t>A宗：</w:t>
      </w:r>
      <w:r>
        <w:rPr>
          <w:rFonts w:hint="eastAsia" w:ascii="华文中宋" w:hAnsi="华文中宋" w:eastAsia="华文中宋" w:cs="华文中宋"/>
          <w:spacing w:val="-3"/>
          <w:sz w:val="28"/>
          <w:szCs w:val="28"/>
        </w:rPr>
        <w:t>位于</w:t>
      </w:r>
      <w:r>
        <w:rPr>
          <w:rFonts w:hint="eastAsia" w:ascii="华文中宋" w:hAnsi="华文中宋" w:eastAsia="华文中宋" w:cs="华文中宋"/>
          <w:spacing w:val="-3"/>
          <w:sz w:val="28"/>
          <w:szCs w:val="28"/>
          <w:lang w:eastAsia="zh-CN"/>
        </w:rPr>
        <w:t>龚店镇节庄村和前棠村，东至规划化工一路，西至神马大道，北至国有储备用地，南至前棠村土地、节庄村土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地。面积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3.0583公顷，其中耕地3.0583公顷。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拟征收土地的权利人为节庄村和前棠村农村集体经济组织。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73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pacing w:val="3"/>
          <w:sz w:val="28"/>
          <w:szCs w:val="28"/>
          <w:lang w:val="en-US" w:eastAsia="zh-CN"/>
        </w:rPr>
        <w:t>B宗：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位于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eastAsia="zh-CN"/>
        </w:rPr>
        <w:t>龚店镇常李村和节庄村，东至规划化工一路，西至河南恒润昌环保科技有限公司，北至平顶山昌明科技有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限公司，南至国有储备用地。面积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11.4553公顷，其中耕地7.6698公顷，林地1.8233公顷，其他农用地0.2830公顷，建设用地1.6792公顷。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拟征收土地的权利人为常李村和节庄村农村集体经济组织。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both"/>
        <w:textAlignment w:val="auto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二、拟征收土地的目的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本次拟征收土地用于工矿仓储，符合法律规定的可以征收情形。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三、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被征收土地的补偿标准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1、土地补偿安置标准：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根据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《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河南省人民政府关于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调整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河南省征地区片综合地价标准的通知（豫政〔201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〕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48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号）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》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规定，该批次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A、B宗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用地位置在叶县龚店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镇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，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征地区片综合地价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均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为二级，补偿安置标准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155.4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万元/公顷(含社会保障费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65.4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万元/公顷)。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青苗和地上附着物补偿标准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：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按照平顶山市人民政府《关于印发平顶山市征地青苗及地上附着物补偿标准的通知》（平政[2017]33号）的规定执行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jc w:val="both"/>
        <w:textAlignment w:val="auto"/>
        <w:rPr>
          <w:rFonts w:hint="eastAsia" w:ascii="黑体" w:hAnsi="黑体" w:eastAsia="黑体" w:cs="黑体"/>
          <w:spacing w:val="0"/>
          <w:sz w:val="28"/>
          <w:szCs w:val="28"/>
        </w:rPr>
      </w:pPr>
      <w:r>
        <w:rPr>
          <w:rFonts w:hint="eastAsia" w:ascii="黑体" w:hAnsi="黑体" w:eastAsia="黑体" w:cs="黑体"/>
          <w:spacing w:val="0"/>
          <w:sz w:val="28"/>
          <w:szCs w:val="28"/>
        </w:rPr>
        <w:t>四、安置意见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按照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相关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u w:val="none"/>
        </w:rPr>
        <w:t>法律法规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规定，经与土地所有权人、使用权人协商，对拟征收土地涉及的农业人口采取以下方式安置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73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pacing w:val="3"/>
          <w:sz w:val="28"/>
          <w:szCs w:val="28"/>
        </w:rPr>
        <w:t>（一）货币安置：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土地征收补偿安置费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eastAsia="zh-CN"/>
        </w:rPr>
        <w:t>用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由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eastAsia="zh-CN"/>
        </w:rPr>
        <w:t>叶县土地收购储备中心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拨付到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eastAsia="zh-CN"/>
        </w:rPr>
        <w:t>上述乡镇政府</w:t>
      </w:r>
      <w:r>
        <w:rPr>
          <w:rFonts w:hint="eastAsia" w:ascii="华文中宋" w:hAnsi="华文中宋" w:eastAsia="华文中宋" w:cs="华文中宋"/>
          <w:color w:val="000000"/>
          <w:spacing w:val="3"/>
          <w:sz w:val="28"/>
          <w:szCs w:val="28"/>
          <w:lang w:val="en-US" w:eastAsia="zh-CN"/>
        </w:rPr>
        <w:t>（街道办事处）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账户，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eastAsia="zh-CN"/>
        </w:rPr>
        <w:t>上述乡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镇政府</w:t>
      </w:r>
      <w:r>
        <w:rPr>
          <w:rFonts w:hint="eastAsia" w:ascii="华文中宋" w:hAnsi="华文中宋" w:eastAsia="华文中宋" w:cs="华文中宋"/>
          <w:color w:val="000000"/>
          <w:spacing w:val="0"/>
          <w:sz w:val="28"/>
          <w:szCs w:val="28"/>
          <w:lang w:val="en-US" w:eastAsia="zh-CN"/>
        </w:rPr>
        <w:t>（街道办事处）负责组织所涉及的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农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村集体经济组织按照村民议事规定研究落实具体分配方案。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1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pacing w:val="0"/>
          <w:sz w:val="28"/>
          <w:szCs w:val="28"/>
        </w:rPr>
        <w:t>（二）社会保障安置：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县人民政府对本次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拟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征收土地按照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65.4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万元/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公顷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标准，一次性支付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被征地农民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社会保障费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949.1894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万元，由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县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财政局将上述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费用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于征收土地报批前一次性划入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县财政局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社会保障资金专户。土地征收经批准后，由县人力资源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和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社会保障局会同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上述乡镇</w:t>
      </w:r>
      <w:r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lang w:val="en-US" w:eastAsia="zh-CN" w:bidi="ar-SA"/>
        </w:rPr>
        <w:t>政府</w:t>
      </w:r>
      <w:r>
        <w:rPr>
          <w:rFonts w:hint="eastAsia" w:ascii="华文中宋" w:hAnsi="华文中宋" w:eastAsia="华文中宋" w:cs="华文中宋"/>
          <w:color w:val="000000"/>
          <w:spacing w:val="0"/>
          <w:sz w:val="28"/>
          <w:szCs w:val="28"/>
          <w:lang w:val="en-US" w:eastAsia="zh-CN"/>
        </w:rPr>
        <w:t>（街道办事处）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及所涉及的</w:t>
      </w:r>
      <w:r>
        <w:rPr>
          <w:rFonts w:hint="eastAsia" w:ascii="华文中宋" w:hAnsi="华文中宋" w:eastAsia="华文中宋" w:cs="华文中宋"/>
          <w:color w:val="auto"/>
          <w:spacing w:val="0"/>
          <w:sz w:val="28"/>
          <w:szCs w:val="28"/>
          <w:lang w:val="en-US" w:eastAsia="zh-CN"/>
        </w:rPr>
        <w:t>农村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集体经济组织落实被征地农民社会保障工作。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jc w:val="both"/>
        <w:textAlignment w:val="auto"/>
        <w:rPr>
          <w:rFonts w:hint="eastAsia" w:ascii="黑体" w:hAnsi="黑体" w:eastAsia="黑体" w:cs="黑体"/>
          <w:spacing w:val="0"/>
          <w:sz w:val="28"/>
          <w:szCs w:val="28"/>
        </w:rPr>
      </w:pPr>
      <w:r>
        <w:rPr>
          <w:rFonts w:hint="eastAsia" w:ascii="黑体" w:hAnsi="黑体" w:eastAsia="黑体" w:cs="黑体"/>
          <w:spacing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pacing w:val="0"/>
          <w:sz w:val="28"/>
          <w:szCs w:val="28"/>
        </w:rPr>
        <w:t>、其他事项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u w:val="none"/>
          <w:lang w:val="en-US" w:eastAsia="zh-CN" w:bidi="ar-SA"/>
        </w:rPr>
        <w:t>此方案在本次拟征收土地涉及的农村集体经济组织所在地予以公告，同时在叶县人民政府网站公告。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</w:rPr>
        <w:t>被征地农村集体经济组织、农村村民或其他权利人对本公告内容要求举行听证的，请于20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</w:rPr>
        <w:t>日前按征地听证有关规定提出书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3"/>
          <w:sz w:val="28"/>
          <w:szCs w:val="28"/>
        </w:rPr>
        <w:t>面申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</w:rPr>
        <w:t>请，送达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lang w:eastAsia="zh-CN"/>
        </w:rPr>
        <w:t>叶县自然资源局平顶山化工产业集聚区分局，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</w:rPr>
        <w:t>逾期未提出的，视作放弃听证。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u w:val="none"/>
          <w:lang w:val="en-US" w:eastAsia="zh-CN" w:bidi="ar-SA"/>
        </w:rPr>
        <w:t>特此公告。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u w:val="none"/>
          <w:lang w:val="en-US" w:eastAsia="zh-CN" w:bidi="ar-SA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100" w:lineRule="exact"/>
        <w:jc w:val="both"/>
        <w:textAlignment w:val="auto"/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u w:val="none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1031" w:rightChars="0" w:firstLine="560" w:firstLineChars="200"/>
        <w:jc w:val="righ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28"/>
          <w:szCs w:val="28"/>
          <w:u w:val="none"/>
          <w:lang w:val="en-US" w:eastAsia="zh-CN" w:bidi="ar-SA"/>
        </w:rPr>
        <w:t>2021年3月26日</w:t>
      </w:r>
    </w:p>
    <w:sectPr>
      <w:pgSz w:w="16838" w:h="23811"/>
      <w:pgMar w:top="1587" w:right="1020" w:bottom="141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0689D"/>
    <w:rsid w:val="0692728C"/>
    <w:rsid w:val="069B77BA"/>
    <w:rsid w:val="0B29511F"/>
    <w:rsid w:val="0F1635A1"/>
    <w:rsid w:val="101D631C"/>
    <w:rsid w:val="135E1582"/>
    <w:rsid w:val="159D33A4"/>
    <w:rsid w:val="18B12B71"/>
    <w:rsid w:val="1EE81D14"/>
    <w:rsid w:val="21736FF9"/>
    <w:rsid w:val="240D3239"/>
    <w:rsid w:val="241919AC"/>
    <w:rsid w:val="287E00E3"/>
    <w:rsid w:val="2BAA3F1B"/>
    <w:rsid w:val="2BBD6CC9"/>
    <w:rsid w:val="2C4F129D"/>
    <w:rsid w:val="2D472096"/>
    <w:rsid w:val="2EFF11AA"/>
    <w:rsid w:val="30093898"/>
    <w:rsid w:val="30F73CEF"/>
    <w:rsid w:val="31691E76"/>
    <w:rsid w:val="34DA4FE9"/>
    <w:rsid w:val="37091ED0"/>
    <w:rsid w:val="38726542"/>
    <w:rsid w:val="3A395DFE"/>
    <w:rsid w:val="40F24047"/>
    <w:rsid w:val="457453D0"/>
    <w:rsid w:val="480432E8"/>
    <w:rsid w:val="4CEE3BBA"/>
    <w:rsid w:val="50850B2B"/>
    <w:rsid w:val="530E577B"/>
    <w:rsid w:val="58B61490"/>
    <w:rsid w:val="5D347915"/>
    <w:rsid w:val="5DCD2AB2"/>
    <w:rsid w:val="643B3A75"/>
    <w:rsid w:val="6C1C570B"/>
    <w:rsid w:val="777D4B15"/>
    <w:rsid w:val="7FBF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800080"/>
      <w:sz w:val="24"/>
      <w:szCs w:val="24"/>
      <w:u w:val="none"/>
    </w:rPr>
  </w:style>
  <w:style w:type="character" w:styleId="9">
    <w:name w:val="Hyperlink"/>
    <w:basedOn w:val="6"/>
    <w:qFormat/>
    <w:uiPriority w:val="0"/>
    <w:rPr>
      <w:rFonts w:hint="eastAsia" w:ascii="微软雅黑" w:hAnsi="微软雅黑" w:eastAsia="微软雅黑" w:cs="微软雅黑"/>
      <w:color w:val="0000FF"/>
      <w:sz w:val="24"/>
      <w:szCs w:val="24"/>
      <w:u w:val="none"/>
    </w:rPr>
  </w:style>
  <w:style w:type="paragraph" w:customStyle="1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szCs w:val="24"/>
      <w:u w:val="none"/>
      <w:lang w:val="en-US" w:eastAsia="zh-CN"/>
    </w:rPr>
  </w:style>
  <w:style w:type="paragraph" w:customStyle="1" w:styleId="11">
    <w:name w:val="bgs"/>
    <w:basedOn w:val="1"/>
    <w:qFormat/>
    <w:uiPriority w:val="0"/>
    <w:pPr>
      <w:spacing w:line="454" w:lineRule="atLeast"/>
      <w:ind w:firstLine="419" w:firstLineChars="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2020-04-13T02:03:00Z</dcterms:created>
  <dc:creator>刘</dc:creator>
  <cp:lastModifiedBy>Administrator</cp:lastModifiedBy>
  <cp:lastPrinted>2021-03-30T02:04:37Z</cp:lastPrinted>
  <dcterms:modified xsi:type="dcterms:W3CDTF">2021-03-30T02:04:40Z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06E801C47AF24BB4A7B5AA21FE6E7572</vt:lpwstr>
  </property>
</Properties>
</file>