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bookmarkStart w:id="6" w:name="_GoBack"/>
      <w:bookmarkStart w:id="0" w:name="_Toc63764864"/>
      <w:r>
        <w:rPr>
          <w:rFonts w:hint="eastAsia" w:ascii="宋体" w:hAnsi="宋体"/>
          <w:b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年县本级一般公共预算收入预算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0"/>
    </w:p>
    <w:p>
      <w:pPr>
        <w:spacing w:line="600" w:lineRule="exact"/>
        <w:ind w:firstLine="880" w:firstLineChars="200"/>
        <w:rPr>
          <w:rFonts w:hint="eastAsia" w:ascii="黑体" w:hAnsi="宋体" w:eastAsia="黑体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年县本级一般公共预算收入总计为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390315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166000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224304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万元（返还性收入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216559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1835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万元），上年结余收入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166000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；其中：税收收入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116000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；非税收入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328700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资源税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个人所得税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城市维护建设税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房产税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7.印花税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8.城镇土地使用税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9.土地增值税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10.车船税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11.耕地占用税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12.契税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13.烟叶税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14.环境保护税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15.专项收入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16.行政事业性收费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17.罚没收入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18.国有资源（资产）有偿使用收入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19.捐赠收入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20.政府住房基金收入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21.其他收入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上级补助收入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224304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216559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万元，专项转移支付收入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万元。主要项目情况是：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1．返还性收入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5910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万元，其中：所得税基数返还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万元，成品油税费改革税收返还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1497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万元，增值税税收返还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734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万元，消费税税收返还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万元，增值税五五分享税收返还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3214万元。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2．一般性转移支付收入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216559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万元，其中：均衡性转移支付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68979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万元，县级基本财力保障机制奖补资金收入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28418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万元，结算补助收入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万元，产粮（油）大县奖励资金收入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4941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万元，重点生态功能区转移支付收入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万元，固定数额补助收入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27566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万元，民族地区转移支付收入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万元，欠发达地区转移支付收入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7143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万元，公共安全共同财政事权转移支付收入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  教育共同财政事权转移支付收入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24879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社会保障和就业共同财政事权转移支付收入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，医疗卫生共同财政事权转移支付收入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文化旅游体育与传媒共同财政事权转移支付收入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万元，农林水共同财政事权转移支付收入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22102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万元，交通运输共同财政事权转移支付收入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房保障共同财政事权转移支付收入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769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一般性转移支付收入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3．专项转移支付收入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万元，其中：一般公共服务转移支付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万元，卫生健康转移支付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万元，节能环保转移支付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农林水转移支付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灾害防治及应急管理转移支付0万元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bookmarkStart w:id="1" w:name="_Toc63764865"/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</w:rPr>
        <w:t>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  <w:highlight w:val="none"/>
        </w:rPr>
        <w:t>年县本级一般公共预算支出预算</w:t>
      </w:r>
    </w:p>
    <w:p>
      <w:pPr>
        <w:spacing w:line="600" w:lineRule="exact"/>
        <w:ind w:left="3909" w:hanging="3909" w:hangingChars="885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1"/>
    </w:p>
    <w:p>
      <w:pPr>
        <w:spacing w:line="600" w:lineRule="exact"/>
        <w:ind w:firstLine="640" w:firstLineChars="200"/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390315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347032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万元(含线下地方政府一般债务还本支出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3251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万元)，上解上级支出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40031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一、叶县支出主要项目情况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县本级一般公共预算支出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347032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主要支出项目情况是：</w:t>
      </w:r>
      <w:r>
        <w:rPr>
          <w:rFonts w:ascii="仿宋" w:hAnsi="仿宋" w:eastAsia="仿宋"/>
          <w:color w:val="FF0000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40331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国防支出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.公共安全支出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15653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91375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.文化旅游体育与传媒支出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4311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66440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.卫生健康支出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22651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.节能环保支出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5303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60340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6066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.资源勘探工业信息等支出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1154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.商业服务业等支出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3412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10189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.粮食物资储备支出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2267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.灾害防治及应急管理支出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2523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.其他支出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1491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.债务付息支出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5566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tabs>
          <w:tab w:val="right" w:pos="8730"/>
        </w:tabs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ascii="仿宋" w:hAnsi="仿宋" w:eastAsia="仿宋"/>
          <w:color w:val="000000"/>
          <w:sz w:val="32"/>
          <w:szCs w:val="32"/>
          <w:highlight w:val="none"/>
        </w:rPr>
        <w:tab/>
      </w: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  <w:bookmarkStart w:id="2" w:name="_Toc63764871"/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  <w:highlight w:val="none"/>
        </w:rPr>
      </w:pPr>
    </w:p>
    <w:p>
      <w:pPr>
        <w:spacing w:line="600" w:lineRule="exact"/>
        <w:ind w:firstLine="883" w:firstLineChars="2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  <w:highlight w:val="none"/>
        </w:rPr>
        <w:t>年叶县</w:t>
      </w: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财政转移支付安排</w:t>
      </w:r>
    </w:p>
    <w:p>
      <w:pPr>
        <w:spacing w:line="600" w:lineRule="exact"/>
        <w:ind w:firstLine="3092" w:firstLineChars="700"/>
        <w:rPr>
          <w:rFonts w:hint="eastAsia" w:ascii="宋体" w:hAnsi="宋体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/>
          <w:b/>
          <w:color w:val="000000"/>
          <w:sz w:val="44"/>
          <w:szCs w:val="44"/>
          <w:highlight w:val="none"/>
        </w:rPr>
        <w:t>的情况说明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上级专项转移支付安排支出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1835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一般公共服务转移支付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万元，卫生健康转移支付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万元，节能环保转移支付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农林水转移支付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灾害防治及应急管理转移支付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FF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年本</w:t>
      </w:r>
      <w:r>
        <w:rPr>
          <w:rFonts w:ascii="宋体" w:hAnsi="宋体"/>
          <w:b/>
          <w:spacing w:val="-6"/>
          <w:sz w:val="44"/>
          <w:szCs w:val="44"/>
          <w:highlight w:val="none"/>
        </w:rPr>
        <w:t>级一般公共预算“三公”经费支出预算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的说明</w:t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年县本级一般公共预算安排的“三公”经费预算支出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254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减少89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下降26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一、因公出国（境）费预算0万元。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二、公务用车购置费0元，主要原因是严格执行八项规定精神，厉行节约，进一步压缩一般性支出。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三、公务用车运行维护费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254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四、公务接待费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万元，比上年减少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%，主要原因是严格执行八项规定精神，厉行节约，进一步压缩一般性支出。</w:t>
      </w: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z w:val="44"/>
          <w:szCs w:val="44"/>
          <w:highlight w:val="none"/>
        </w:rPr>
        <w:t>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  <w:highlight w:val="none"/>
        </w:rPr>
        <w:t>年县本级政府性基金收入预算            情况的说明</w:t>
      </w:r>
      <w:bookmarkEnd w:id="2"/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年县本级政府性基金收入预算总计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216937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万元，其中：县本级收入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109000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，上年结余收入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104217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一、县本级收入主要项目情况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县本级收入预算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109000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万元，主要项目安排情况是：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1．国有土地收益基金收入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2．农业土地开发资金收入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3．国有土地使用权出让收入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100950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4．城市基础设施配套费收入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5．污水处理费收入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1050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万元；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二、上级补助收入项目情况</w:t>
      </w:r>
    </w:p>
    <w:p>
      <w:pPr>
        <w:spacing w:line="600" w:lineRule="exact"/>
        <w:ind w:firstLine="640" w:firstLineChars="200"/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上级补助收入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/>
          <w:b/>
          <w:sz w:val="36"/>
          <w:szCs w:val="36"/>
          <w:highlight w:val="none"/>
        </w:rPr>
        <w:br w:type="page"/>
      </w:r>
      <w:bookmarkStart w:id="3" w:name="_Toc63764872"/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  <w:highlight w:val="none"/>
        </w:rPr>
        <w:t xml:space="preserve">年县本级政府性基金支出预算            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b/>
          <w:sz w:val="44"/>
          <w:szCs w:val="44"/>
          <w:highlight w:val="none"/>
        </w:rPr>
        <w:t>情况的说明</w:t>
      </w:r>
      <w:bookmarkEnd w:id="3"/>
    </w:p>
    <w:p>
      <w:pPr>
        <w:spacing w:line="600" w:lineRule="exact"/>
        <w:ind w:firstLine="640" w:firstLineChars="200"/>
        <w:jc w:val="center"/>
        <w:rPr>
          <w:rFonts w:eastAsia="方正仿宋简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年县本级政府性基金支出预算总计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216937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县本级支出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212968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万元，主要支出项目是：城乡社区支出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93252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7115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万元；农林水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万元；其他支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出95403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万元；债务付息支出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17080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转移性支出安排：地方政府专项债务还本支出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  <w:highlight w:val="none"/>
          <w:lang w:val="zh-CN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jc w:val="center"/>
        <w:outlineLvl w:val="0"/>
        <w:rPr>
          <w:rFonts w:hint="eastAsia" w:ascii="宋体"/>
          <w:b/>
          <w:sz w:val="36"/>
          <w:szCs w:val="36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before="360" w:beforeLines="150" w:after="120" w:afterLines="50" w:line="700" w:lineRule="exact"/>
        <w:jc w:val="center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  <w:bookmarkStart w:id="4" w:name="_Toc30512510"/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关于202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黑体" w:hAnsi="宋体" w:eastAsia="黑体"/>
          <w:spacing w:val="-6"/>
          <w:sz w:val="44"/>
          <w:szCs w:val="44"/>
          <w:highlight w:val="none"/>
        </w:rPr>
        <w:t>年县本级国有资本经营收支预算       情况的说明</w:t>
      </w:r>
      <w:bookmarkEnd w:id="4"/>
    </w:p>
    <w:p>
      <w:pPr>
        <w:spacing w:line="580" w:lineRule="exact"/>
        <w:outlineLvl w:val="0"/>
        <w:rPr>
          <w:rFonts w:hint="eastAsia" w:eastAsia="黑体"/>
          <w:color w:val="000000"/>
          <w:kern w:val="0"/>
          <w:sz w:val="32"/>
          <w:szCs w:val="30"/>
          <w:highlight w:val="none"/>
        </w:rPr>
      </w:pPr>
    </w:p>
    <w:p>
      <w:pPr>
        <w:spacing w:line="580" w:lineRule="exact"/>
        <w:ind w:firstLine="640" w:firstLineChars="200"/>
        <w:outlineLvl w:val="0"/>
        <w:rPr>
          <w:rFonts w:hint="default" w:ascii="仿宋" w:hAnsi="仿宋" w:eastAsia="仿宋"/>
          <w:color w:val="000000"/>
          <w:kern w:val="0"/>
          <w:sz w:val="32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年县本级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国有资本经营收入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年初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预算为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126</w:t>
      </w:r>
      <w:r>
        <w:rPr>
          <w:rFonts w:ascii="仿宋" w:hAnsi="仿宋" w:eastAsia="仿宋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其中用于解决历史遗留问题及改革成本支出42万元，上年结转84万元。</w:t>
      </w:r>
    </w:p>
    <w:p>
      <w:pPr>
        <w:rPr>
          <w:rFonts w:hint="eastAsia" w:eastAsia="黑体"/>
          <w:color w:val="000000"/>
          <w:kern w:val="0"/>
          <w:sz w:val="32"/>
          <w:szCs w:val="30"/>
          <w:highlight w:val="none"/>
        </w:rPr>
      </w:pPr>
      <w:r>
        <w:rPr>
          <w:rFonts w:hint="eastAsia" w:eastAsia="黑体"/>
          <w:color w:val="000000"/>
          <w:kern w:val="0"/>
          <w:sz w:val="32"/>
          <w:szCs w:val="30"/>
          <w:highlight w:val="none"/>
        </w:rPr>
        <w:br w:type="page"/>
      </w:r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宋体" w:hAnsi="宋体"/>
          <w:b/>
          <w:spacing w:val="-6"/>
          <w:sz w:val="44"/>
          <w:szCs w:val="44"/>
          <w:highlight w:val="none"/>
        </w:rPr>
      </w:pPr>
      <w:bookmarkStart w:id="5" w:name="_Toc30512520"/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关于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202</w:t>
      </w:r>
      <w:r>
        <w:rPr>
          <w:rFonts w:hint="eastAsia" w:ascii="宋体" w:hAnsi="宋体"/>
          <w:b/>
          <w:spacing w:val="-6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pacing w:val="-6"/>
          <w:sz w:val="44"/>
          <w:szCs w:val="44"/>
          <w:highlight w:val="none"/>
        </w:rPr>
        <w:t>年县本级社会保险基金收支预算                   编制情况的说明</w:t>
      </w:r>
      <w:bookmarkEnd w:id="5"/>
    </w:p>
    <w:p>
      <w:pPr>
        <w:spacing w:before="360" w:beforeLines="150" w:after="120" w:afterLines="50" w:line="700" w:lineRule="exact"/>
        <w:jc w:val="center"/>
        <w:outlineLvl w:val="0"/>
        <w:rPr>
          <w:rFonts w:hint="eastAsia" w:ascii="方正大标宋简体" w:hAnsi="宋体" w:eastAsia="方正大标宋简体"/>
          <w:spacing w:val="-6"/>
          <w:sz w:val="44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根据《河南省财政厅 河南省人力资源和社会保障厅 河南省医疗保障局 国家税务总局河南省税务局关于编报社会保险基金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年预算的通知》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(豫财社〔2020〕143号)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文件要求，我县财政、人社、医疗保障和税务部门及社保经办机构，按照收支平衡，留有结余的原则，认真编报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年社会保险基金预算工作，现将编报情况汇报如下：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年社会保险基金预算的编制范围、级次、方法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社会保险基金预算分险种、按统筹地区分别编制。企业职工基本养老保险基金按照省级统筹编制，机关事业单位基本养老保险基金、城镇职工基本医疗保险（含生育保险）基金、城乡居民基本医疗保险基金、工伤保险基金、失业保险基金按照市级统筹编制；城乡居民基本养老保险基金按照县级统筹编制。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000000"/>
          <w:sz w:val="32"/>
          <w:szCs w:val="32"/>
          <w:highlight w:val="none"/>
        </w:rPr>
        <w:t>二、全县社会保险基金预算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按照编制范围，我县需编制城乡居民养老保险基金预算，202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年全县城乡居民养老保险基金收入预算为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125458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个人缴费收入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5720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2.财政补贴收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4891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3.利息收入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4.委托投资收益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1789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5.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转移收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6.上级补助收入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27547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万元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7.上年结余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85335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年全县城乡居民养老保险基金支出预算为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125458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298478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2.个人账户养老金支出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1906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3.丧葬补助金支出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1066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4.转移支出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5.年末滚存结余92609万元</w:t>
      </w:r>
    </w:p>
    <w:p>
      <w:pPr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br w:type="page"/>
      </w:r>
    </w:p>
    <w:bookmarkEnd w:id="6"/>
    <w:p>
      <w:pPr>
        <w:jc w:val="center"/>
        <w:rPr>
          <w:rFonts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>关于202</w:t>
      </w: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  <w:highlight w:val="none"/>
        </w:rPr>
        <w:t>年县本级预算绩效情况的说明</w:t>
      </w:r>
    </w:p>
    <w:p>
      <w:pPr>
        <w:spacing w:line="570" w:lineRule="exact"/>
        <w:ind w:firstLine="640" w:firstLineChars="200"/>
        <w:rPr>
          <w:rFonts w:hint="eastAsia" w:eastAsia="方正仿宋简体"/>
          <w:color w:val="000000"/>
          <w:sz w:val="32"/>
          <w:szCs w:val="32"/>
          <w:highlight w:val="none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认真贯彻落实全面实施预算绩效管理的各项部署和要求，以绩效为导向调整优化支出结构，切实提高财政政策的精准度和有效性，提升财政资金的配置效率和使用效益。建立事前绩效评估机制，加强财政可承受能力评估，对不具备实施条件、存在财政风险隐患的政策和项目一律不得出台实施。加强绩效目标管理，科学设置绩效指标和指标值。扎实开展绩效目标运行监控，对发现的问题和管理漏洞，要及时采取措施予以纠正。全面开展绩效评价，加强绩效评价结果同政策调整、预算安排的有机结合，对支持方向与国家重大决策部署和部门主要职能相偏离、交叉重复的政策和项目予以调整，对低效无效项目进行压缩、调整或取消。统筹归并部门内部切块管理的项目，集中财力办大事。着力清理规范过高承诺、过度保障的支出政策，做到尽力而为、量力而行，确保财政可持续。</w:t>
      </w:r>
    </w:p>
    <w:p>
      <w:pPr>
        <w:spacing w:line="57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hint="eastAsia" w:eastAsia="方正仿宋简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985" w:left="1588" w:header="851" w:footer="1418" w:gutter="0"/>
      <w:pgBorders w:offsetFrom="page"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gBorders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10</w:t>
    </w:r>
    <w:r>
      <w:rPr>
        <w:rStyle w:val="19"/>
        <w:sz w:val="28"/>
        <w:szCs w:val="28"/>
      </w:rPr>
      <w:fldChar w:fldCharType="end"/>
    </w:r>
  </w:p>
  <w:p>
    <w:pPr>
      <w:pStyle w:val="10"/>
      <w:framePr w:wrap="around" w:vAnchor="text" w:hAnchor="margin" w:xAlign="right" w:y="1"/>
      <w:rPr>
        <w:rStyle w:val="19"/>
      </w:rPr>
    </w:pP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GE2YTA1N2VlNzE0Y2UwYzhkZjRmN2MzNjc4N2YifQ=="/>
  </w:docVars>
  <w:rsids>
    <w:rsidRoot w:val="003010B7"/>
    <w:rsid w:val="00000AE5"/>
    <w:rsid w:val="0001152A"/>
    <w:rsid w:val="000119EA"/>
    <w:rsid w:val="00012DC9"/>
    <w:rsid w:val="00012EBB"/>
    <w:rsid w:val="000140D9"/>
    <w:rsid w:val="00016674"/>
    <w:rsid w:val="00017A75"/>
    <w:rsid w:val="00023301"/>
    <w:rsid w:val="00023849"/>
    <w:rsid w:val="00024EE1"/>
    <w:rsid w:val="00024F03"/>
    <w:rsid w:val="0002651E"/>
    <w:rsid w:val="00033F1B"/>
    <w:rsid w:val="00035AFC"/>
    <w:rsid w:val="00037652"/>
    <w:rsid w:val="00040DE9"/>
    <w:rsid w:val="00041B79"/>
    <w:rsid w:val="00044CA4"/>
    <w:rsid w:val="00047C87"/>
    <w:rsid w:val="000510EA"/>
    <w:rsid w:val="0005605F"/>
    <w:rsid w:val="00060B25"/>
    <w:rsid w:val="00062327"/>
    <w:rsid w:val="00063F7D"/>
    <w:rsid w:val="00066C0B"/>
    <w:rsid w:val="000677D9"/>
    <w:rsid w:val="00067F39"/>
    <w:rsid w:val="00070176"/>
    <w:rsid w:val="00070596"/>
    <w:rsid w:val="00070962"/>
    <w:rsid w:val="00074217"/>
    <w:rsid w:val="00074D7A"/>
    <w:rsid w:val="00075420"/>
    <w:rsid w:val="0007664A"/>
    <w:rsid w:val="00080AD6"/>
    <w:rsid w:val="00084FE4"/>
    <w:rsid w:val="00085538"/>
    <w:rsid w:val="00085FF1"/>
    <w:rsid w:val="0009366E"/>
    <w:rsid w:val="00094576"/>
    <w:rsid w:val="00094795"/>
    <w:rsid w:val="00094C96"/>
    <w:rsid w:val="00095575"/>
    <w:rsid w:val="00097241"/>
    <w:rsid w:val="00097CDC"/>
    <w:rsid w:val="000B2464"/>
    <w:rsid w:val="000B58BA"/>
    <w:rsid w:val="000B5FE3"/>
    <w:rsid w:val="000C6432"/>
    <w:rsid w:val="000D0292"/>
    <w:rsid w:val="000E2616"/>
    <w:rsid w:val="000E45D0"/>
    <w:rsid w:val="000F65E7"/>
    <w:rsid w:val="000F6EEE"/>
    <w:rsid w:val="00105678"/>
    <w:rsid w:val="001066AB"/>
    <w:rsid w:val="00106D0A"/>
    <w:rsid w:val="0011034E"/>
    <w:rsid w:val="001109B3"/>
    <w:rsid w:val="00113D43"/>
    <w:rsid w:val="001141EA"/>
    <w:rsid w:val="00114BEB"/>
    <w:rsid w:val="00121290"/>
    <w:rsid w:val="00126FF8"/>
    <w:rsid w:val="001274F1"/>
    <w:rsid w:val="00127DB6"/>
    <w:rsid w:val="001327AD"/>
    <w:rsid w:val="00136678"/>
    <w:rsid w:val="00137FF9"/>
    <w:rsid w:val="001411E9"/>
    <w:rsid w:val="0014501E"/>
    <w:rsid w:val="00154DF9"/>
    <w:rsid w:val="00160D77"/>
    <w:rsid w:val="0016167F"/>
    <w:rsid w:val="001639D4"/>
    <w:rsid w:val="00170E22"/>
    <w:rsid w:val="00171298"/>
    <w:rsid w:val="00171E7F"/>
    <w:rsid w:val="00174D8C"/>
    <w:rsid w:val="00177012"/>
    <w:rsid w:val="0018027B"/>
    <w:rsid w:val="00180340"/>
    <w:rsid w:val="001848DF"/>
    <w:rsid w:val="0018520E"/>
    <w:rsid w:val="00191EFC"/>
    <w:rsid w:val="00192205"/>
    <w:rsid w:val="00192DDE"/>
    <w:rsid w:val="001957D2"/>
    <w:rsid w:val="00197D9A"/>
    <w:rsid w:val="001A0E64"/>
    <w:rsid w:val="001A26F0"/>
    <w:rsid w:val="001B1A95"/>
    <w:rsid w:val="001B1B0E"/>
    <w:rsid w:val="001C2321"/>
    <w:rsid w:val="001C4866"/>
    <w:rsid w:val="001D2195"/>
    <w:rsid w:val="001E1E99"/>
    <w:rsid w:val="001E214C"/>
    <w:rsid w:val="001E24AC"/>
    <w:rsid w:val="001F127A"/>
    <w:rsid w:val="001F2D1A"/>
    <w:rsid w:val="001F5549"/>
    <w:rsid w:val="001F6258"/>
    <w:rsid w:val="00205227"/>
    <w:rsid w:val="0020617E"/>
    <w:rsid w:val="00207429"/>
    <w:rsid w:val="00213F4E"/>
    <w:rsid w:val="002144FF"/>
    <w:rsid w:val="00214DB4"/>
    <w:rsid w:val="0021717D"/>
    <w:rsid w:val="00217C6F"/>
    <w:rsid w:val="002204B2"/>
    <w:rsid w:val="00220AFE"/>
    <w:rsid w:val="00221FFB"/>
    <w:rsid w:val="00222AA1"/>
    <w:rsid w:val="00226066"/>
    <w:rsid w:val="002326FE"/>
    <w:rsid w:val="00234812"/>
    <w:rsid w:val="00240190"/>
    <w:rsid w:val="002402E9"/>
    <w:rsid w:val="00242FA6"/>
    <w:rsid w:val="002434D7"/>
    <w:rsid w:val="00244E22"/>
    <w:rsid w:val="00245B70"/>
    <w:rsid w:val="00246CEE"/>
    <w:rsid w:val="00253FB4"/>
    <w:rsid w:val="00254688"/>
    <w:rsid w:val="00255D5F"/>
    <w:rsid w:val="00263338"/>
    <w:rsid w:val="00265531"/>
    <w:rsid w:val="00265A70"/>
    <w:rsid w:val="00271F54"/>
    <w:rsid w:val="00275BA1"/>
    <w:rsid w:val="00275D10"/>
    <w:rsid w:val="00282096"/>
    <w:rsid w:val="0028242A"/>
    <w:rsid w:val="00282A39"/>
    <w:rsid w:val="00282E27"/>
    <w:rsid w:val="00285696"/>
    <w:rsid w:val="00286141"/>
    <w:rsid w:val="0029082E"/>
    <w:rsid w:val="00290D8B"/>
    <w:rsid w:val="00290DAD"/>
    <w:rsid w:val="0029280F"/>
    <w:rsid w:val="002963EF"/>
    <w:rsid w:val="002A02F1"/>
    <w:rsid w:val="002A0FA8"/>
    <w:rsid w:val="002B2A23"/>
    <w:rsid w:val="002B796A"/>
    <w:rsid w:val="002B7BC7"/>
    <w:rsid w:val="002B7BF9"/>
    <w:rsid w:val="002C4B0A"/>
    <w:rsid w:val="002C50F1"/>
    <w:rsid w:val="002D1620"/>
    <w:rsid w:val="002D4844"/>
    <w:rsid w:val="002D4A5C"/>
    <w:rsid w:val="002D562C"/>
    <w:rsid w:val="002D5941"/>
    <w:rsid w:val="002D6A7F"/>
    <w:rsid w:val="002D7A85"/>
    <w:rsid w:val="002E0070"/>
    <w:rsid w:val="002E03EF"/>
    <w:rsid w:val="002E0AA7"/>
    <w:rsid w:val="002E0E34"/>
    <w:rsid w:val="002E5F20"/>
    <w:rsid w:val="002F30D2"/>
    <w:rsid w:val="00300CA8"/>
    <w:rsid w:val="003010B7"/>
    <w:rsid w:val="0030226A"/>
    <w:rsid w:val="003041C3"/>
    <w:rsid w:val="003068A3"/>
    <w:rsid w:val="00307A80"/>
    <w:rsid w:val="003102DA"/>
    <w:rsid w:val="003107E1"/>
    <w:rsid w:val="00310AEE"/>
    <w:rsid w:val="003112F2"/>
    <w:rsid w:val="0032281C"/>
    <w:rsid w:val="0032640C"/>
    <w:rsid w:val="00326F58"/>
    <w:rsid w:val="003300B9"/>
    <w:rsid w:val="003319B1"/>
    <w:rsid w:val="00336400"/>
    <w:rsid w:val="00341158"/>
    <w:rsid w:val="00342731"/>
    <w:rsid w:val="003427C4"/>
    <w:rsid w:val="00345B0B"/>
    <w:rsid w:val="00351A97"/>
    <w:rsid w:val="00355DFE"/>
    <w:rsid w:val="00355F76"/>
    <w:rsid w:val="00362739"/>
    <w:rsid w:val="00363921"/>
    <w:rsid w:val="003652D9"/>
    <w:rsid w:val="00366C1F"/>
    <w:rsid w:val="00367EA0"/>
    <w:rsid w:val="00372BD0"/>
    <w:rsid w:val="00372D37"/>
    <w:rsid w:val="00374B66"/>
    <w:rsid w:val="003759D5"/>
    <w:rsid w:val="003834F3"/>
    <w:rsid w:val="003840B8"/>
    <w:rsid w:val="003852EC"/>
    <w:rsid w:val="00387437"/>
    <w:rsid w:val="00387D61"/>
    <w:rsid w:val="00393E19"/>
    <w:rsid w:val="00394E26"/>
    <w:rsid w:val="003A3040"/>
    <w:rsid w:val="003A334E"/>
    <w:rsid w:val="003A4B48"/>
    <w:rsid w:val="003A563A"/>
    <w:rsid w:val="003C1131"/>
    <w:rsid w:val="003C2DFA"/>
    <w:rsid w:val="003C5890"/>
    <w:rsid w:val="003D0DDA"/>
    <w:rsid w:val="003E0AC0"/>
    <w:rsid w:val="003F18B6"/>
    <w:rsid w:val="003F420A"/>
    <w:rsid w:val="003F4704"/>
    <w:rsid w:val="003F655B"/>
    <w:rsid w:val="004068F0"/>
    <w:rsid w:val="004151EF"/>
    <w:rsid w:val="0041727D"/>
    <w:rsid w:val="00427B53"/>
    <w:rsid w:val="004303AC"/>
    <w:rsid w:val="00434A91"/>
    <w:rsid w:val="00435E2C"/>
    <w:rsid w:val="00443309"/>
    <w:rsid w:val="00444074"/>
    <w:rsid w:val="00445815"/>
    <w:rsid w:val="004460C1"/>
    <w:rsid w:val="00446D02"/>
    <w:rsid w:val="00446D5B"/>
    <w:rsid w:val="00451775"/>
    <w:rsid w:val="004558E9"/>
    <w:rsid w:val="004564CA"/>
    <w:rsid w:val="00460A76"/>
    <w:rsid w:val="00461DDF"/>
    <w:rsid w:val="00462F75"/>
    <w:rsid w:val="00465E22"/>
    <w:rsid w:val="00466A36"/>
    <w:rsid w:val="00471905"/>
    <w:rsid w:val="004739B2"/>
    <w:rsid w:val="00475429"/>
    <w:rsid w:val="004852C7"/>
    <w:rsid w:val="0048537D"/>
    <w:rsid w:val="00487603"/>
    <w:rsid w:val="00492E6A"/>
    <w:rsid w:val="004A1F03"/>
    <w:rsid w:val="004A5044"/>
    <w:rsid w:val="004A6935"/>
    <w:rsid w:val="004B312C"/>
    <w:rsid w:val="004B388F"/>
    <w:rsid w:val="004B3E4A"/>
    <w:rsid w:val="004B441A"/>
    <w:rsid w:val="004B5780"/>
    <w:rsid w:val="004B5C03"/>
    <w:rsid w:val="004B6F34"/>
    <w:rsid w:val="004C0F46"/>
    <w:rsid w:val="004C2D93"/>
    <w:rsid w:val="004D059C"/>
    <w:rsid w:val="004D3E27"/>
    <w:rsid w:val="004D780F"/>
    <w:rsid w:val="004E01C3"/>
    <w:rsid w:val="004E1B45"/>
    <w:rsid w:val="004E311F"/>
    <w:rsid w:val="004E6132"/>
    <w:rsid w:val="004E7723"/>
    <w:rsid w:val="004E7FBF"/>
    <w:rsid w:val="004F3064"/>
    <w:rsid w:val="00501EF5"/>
    <w:rsid w:val="00503AEF"/>
    <w:rsid w:val="00503E3D"/>
    <w:rsid w:val="005110DC"/>
    <w:rsid w:val="00511809"/>
    <w:rsid w:val="005220E6"/>
    <w:rsid w:val="0052686D"/>
    <w:rsid w:val="0053209B"/>
    <w:rsid w:val="005347A5"/>
    <w:rsid w:val="00534AB6"/>
    <w:rsid w:val="00535BE4"/>
    <w:rsid w:val="00536DC7"/>
    <w:rsid w:val="005407E4"/>
    <w:rsid w:val="00541FE1"/>
    <w:rsid w:val="00543A99"/>
    <w:rsid w:val="00545A74"/>
    <w:rsid w:val="005460C4"/>
    <w:rsid w:val="00551D12"/>
    <w:rsid w:val="00553BE7"/>
    <w:rsid w:val="00554F16"/>
    <w:rsid w:val="005620FB"/>
    <w:rsid w:val="005675BE"/>
    <w:rsid w:val="005767C6"/>
    <w:rsid w:val="00576EC5"/>
    <w:rsid w:val="00580D88"/>
    <w:rsid w:val="005825E8"/>
    <w:rsid w:val="0058339F"/>
    <w:rsid w:val="00585D50"/>
    <w:rsid w:val="0059371E"/>
    <w:rsid w:val="00594136"/>
    <w:rsid w:val="00597490"/>
    <w:rsid w:val="005A15D4"/>
    <w:rsid w:val="005A1D60"/>
    <w:rsid w:val="005C1E4C"/>
    <w:rsid w:val="005C6B50"/>
    <w:rsid w:val="005C71CE"/>
    <w:rsid w:val="005D28EC"/>
    <w:rsid w:val="005D490C"/>
    <w:rsid w:val="005D4F7F"/>
    <w:rsid w:val="005E0DDD"/>
    <w:rsid w:val="005E3925"/>
    <w:rsid w:val="005F0435"/>
    <w:rsid w:val="005F68A1"/>
    <w:rsid w:val="005F7B7A"/>
    <w:rsid w:val="006031DC"/>
    <w:rsid w:val="0060377F"/>
    <w:rsid w:val="00606BA9"/>
    <w:rsid w:val="0060730F"/>
    <w:rsid w:val="00610A2A"/>
    <w:rsid w:val="00610ED2"/>
    <w:rsid w:val="00613C67"/>
    <w:rsid w:val="0062083D"/>
    <w:rsid w:val="006217D3"/>
    <w:rsid w:val="006244BE"/>
    <w:rsid w:val="00624538"/>
    <w:rsid w:val="00626CBA"/>
    <w:rsid w:val="0063081C"/>
    <w:rsid w:val="00640B55"/>
    <w:rsid w:val="00643D23"/>
    <w:rsid w:val="00643EC1"/>
    <w:rsid w:val="00644BD4"/>
    <w:rsid w:val="006459B9"/>
    <w:rsid w:val="0064737D"/>
    <w:rsid w:val="00666019"/>
    <w:rsid w:val="00672003"/>
    <w:rsid w:val="00675A3E"/>
    <w:rsid w:val="00676129"/>
    <w:rsid w:val="006818A2"/>
    <w:rsid w:val="006835BF"/>
    <w:rsid w:val="00683E41"/>
    <w:rsid w:val="00687EBE"/>
    <w:rsid w:val="00693AAF"/>
    <w:rsid w:val="00695128"/>
    <w:rsid w:val="00695E24"/>
    <w:rsid w:val="006A02AA"/>
    <w:rsid w:val="006A3674"/>
    <w:rsid w:val="006A41B5"/>
    <w:rsid w:val="006A69D9"/>
    <w:rsid w:val="006A7E31"/>
    <w:rsid w:val="006C0C40"/>
    <w:rsid w:val="006C1389"/>
    <w:rsid w:val="006C15D1"/>
    <w:rsid w:val="006C2971"/>
    <w:rsid w:val="006D3BB3"/>
    <w:rsid w:val="006D5FEE"/>
    <w:rsid w:val="006E51CD"/>
    <w:rsid w:val="006F0381"/>
    <w:rsid w:val="006F5C2A"/>
    <w:rsid w:val="006F693B"/>
    <w:rsid w:val="0070040D"/>
    <w:rsid w:val="0070389B"/>
    <w:rsid w:val="00706A24"/>
    <w:rsid w:val="007172CB"/>
    <w:rsid w:val="00724003"/>
    <w:rsid w:val="007253F4"/>
    <w:rsid w:val="00727FA6"/>
    <w:rsid w:val="00732B47"/>
    <w:rsid w:val="00737DBC"/>
    <w:rsid w:val="007433D6"/>
    <w:rsid w:val="00746C3E"/>
    <w:rsid w:val="00754972"/>
    <w:rsid w:val="00755DDE"/>
    <w:rsid w:val="007564B9"/>
    <w:rsid w:val="00757386"/>
    <w:rsid w:val="007621F2"/>
    <w:rsid w:val="007677D7"/>
    <w:rsid w:val="00767A13"/>
    <w:rsid w:val="00767EDC"/>
    <w:rsid w:val="00772B3D"/>
    <w:rsid w:val="00772E1E"/>
    <w:rsid w:val="007748B5"/>
    <w:rsid w:val="00777658"/>
    <w:rsid w:val="007779C1"/>
    <w:rsid w:val="00781648"/>
    <w:rsid w:val="007826EC"/>
    <w:rsid w:val="00783262"/>
    <w:rsid w:val="0078596C"/>
    <w:rsid w:val="00786F08"/>
    <w:rsid w:val="007967F4"/>
    <w:rsid w:val="00797E8F"/>
    <w:rsid w:val="007A1116"/>
    <w:rsid w:val="007A2697"/>
    <w:rsid w:val="007A5AD4"/>
    <w:rsid w:val="007B313E"/>
    <w:rsid w:val="007B4492"/>
    <w:rsid w:val="007B5277"/>
    <w:rsid w:val="007B5A96"/>
    <w:rsid w:val="007B750C"/>
    <w:rsid w:val="007C08E9"/>
    <w:rsid w:val="007C1DCB"/>
    <w:rsid w:val="007C39A7"/>
    <w:rsid w:val="007C55D3"/>
    <w:rsid w:val="007C614C"/>
    <w:rsid w:val="007C7D75"/>
    <w:rsid w:val="007C7E6F"/>
    <w:rsid w:val="007D2D54"/>
    <w:rsid w:val="007D2E1D"/>
    <w:rsid w:val="007D3246"/>
    <w:rsid w:val="007D4B24"/>
    <w:rsid w:val="007D7F44"/>
    <w:rsid w:val="007E0134"/>
    <w:rsid w:val="007E1573"/>
    <w:rsid w:val="007E2967"/>
    <w:rsid w:val="007E2BA4"/>
    <w:rsid w:val="007E3CF4"/>
    <w:rsid w:val="007E6249"/>
    <w:rsid w:val="007E6A01"/>
    <w:rsid w:val="008029ED"/>
    <w:rsid w:val="00807201"/>
    <w:rsid w:val="0080726A"/>
    <w:rsid w:val="008143E8"/>
    <w:rsid w:val="008210AB"/>
    <w:rsid w:val="0082164D"/>
    <w:rsid w:val="00821AD6"/>
    <w:rsid w:val="00822359"/>
    <w:rsid w:val="00831AA0"/>
    <w:rsid w:val="00833FEB"/>
    <w:rsid w:val="0084164D"/>
    <w:rsid w:val="00841BB1"/>
    <w:rsid w:val="0084321E"/>
    <w:rsid w:val="00853452"/>
    <w:rsid w:val="00854A26"/>
    <w:rsid w:val="00860CFA"/>
    <w:rsid w:val="00864375"/>
    <w:rsid w:val="00864978"/>
    <w:rsid w:val="008660E2"/>
    <w:rsid w:val="00867213"/>
    <w:rsid w:val="0086794C"/>
    <w:rsid w:val="00883984"/>
    <w:rsid w:val="00883EB7"/>
    <w:rsid w:val="00884124"/>
    <w:rsid w:val="00884EC4"/>
    <w:rsid w:val="008859E7"/>
    <w:rsid w:val="0088669D"/>
    <w:rsid w:val="00894F63"/>
    <w:rsid w:val="00895479"/>
    <w:rsid w:val="008964AF"/>
    <w:rsid w:val="008A25C8"/>
    <w:rsid w:val="008A4251"/>
    <w:rsid w:val="008B0157"/>
    <w:rsid w:val="008B2213"/>
    <w:rsid w:val="008B4C69"/>
    <w:rsid w:val="008B5920"/>
    <w:rsid w:val="008B5BA2"/>
    <w:rsid w:val="008B6AD6"/>
    <w:rsid w:val="008C28AB"/>
    <w:rsid w:val="008C7018"/>
    <w:rsid w:val="008C78A0"/>
    <w:rsid w:val="008D0205"/>
    <w:rsid w:val="008D500D"/>
    <w:rsid w:val="008D54C1"/>
    <w:rsid w:val="008D5657"/>
    <w:rsid w:val="008E510D"/>
    <w:rsid w:val="008E5353"/>
    <w:rsid w:val="008E6045"/>
    <w:rsid w:val="008E67BC"/>
    <w:rsid w:val="008F0C76"/>
    <w:rsid w:val="008F2DB3"/>
    <w:rsid w:val="008F473F"/>
    <w:rsid w:val="009003CA"/>
    <w:rsid w:val="00905B25"/>
    <w:rsid w:val="00905BA3"/>
    <w:rsid w:val="00906304"/>
    <w:rsid w:val="00914FE6"/>
    <w:rsid w:val="009203A1"/>
    <w:rsid w:val="00920AF3"/>
    <w:rsid w:val="00925EBC"/>
    <w:rsid w:val="00927123"/>
    <w:rsid w:val="00930BB7"/>
    <w:rsid w:val="009319FB"/>
    <w:rsid w:val="0093498C"/>
    <w:rsid w:val="009357E2"/>
    <w:rsid w:val="00943595"/>
    <w:rsid w:val="009451F7"/>
    <w:rsid w:val="00947B44"/>
    <w:rsid w:val="00952794"/>
    <w:rsid w:val="00960133"/>
    <w:rsid w:val="00962325"/>
    <w:rsid w:val="009629E1"/>
    <w:rsid w:val="009655F0"/>
    <w:rsid w:val="009662B4"/>
    <w:rsid w:val="00976A96"/>
    <w:rsid w:val="00981535"/>
    <w:rsid w:val="00984E33"/>
    <w:rsid w:val="00984EBB"/>
    <w:rsid w:val="00985433"/>
    <w:rsid w:val="00994D2A"/>
    <w:rsid w:val="0099519C"/>
    <w:rsid w:val="0099535D"/>
    <w:rsid w:val="009966B9"/>
    <w:rsid w:val="00997D75"/>
    <w:rsid w:val="009B0230"/>
    <w:rsid w:val="009B4542"/>
    <w:rsid w:val="009B4ECE"/>
    <w:rsid w:val="009B60B2"/>
    <w:rsid w:val="009B6C02"/>
    <w:rsid w:val="009C283A"/>
    <w:rsid w:val="009C5423"/>
    <w:rsid w:val="009D1D5A"/>
    <w:rsid w:val="009D207E"/>
    <w:rsid w:val="009E36D1"/>
    <w:rsid w:val="009E548E"/>
    <w:rsid w:val="009E71DC"/>
    <w:rsid w:val="009F5215"/>
    <w:rsid w:val="009F6E03"/>
    <w:rsid w:val="00A0013F"/>
    <w:rsid w:val="00A00289"/>
    <w:rsid w:val="00A011EE"/>
    <w:rsid w:val="00A01586"/>
    <w:rsid w:val="00A0336F"/>
    <w:rsid w:val="00A03A88"/>
    <w:rsid w:val="00A03DB9"/>
    <w:rsid w:val="00A11DCF"/>
    <w:rsid w:val="00A15373"/>
    <w:rsid w:val="00A208FB"/>
    <w:rsid w:val="00A2244E"/>
    <w:rsid w:val="00A239F5"/>
    <w:rsid w:val="00A26E6B"/>
    <w:rsid w:val="00A27ABA"/>
    <w:rsid w:val="00A430A4"/>
    <w:rsid w:val="00A432E1"/>
    <w:rsid w:val="00A45D3B"/>
    <w:rsid w:val="00A46EF8"/>
    <w:rsid w:val="00A5067A"/>
    <w:rsid w:val="00A5121B"/>
    <w:rsid w:val="00A53CFA"/>
    <w:rsid w:val="00A54BD2"/>
    <w:rsid w:val="00A56EF3"/>
    <w:rsid w:val="00A60C13"/>
    <w:rsid w:val="00A679BF"/>
    <w:rsid w:val="00A71E31"/>
    <w:rsid w:val="00A72C13"/>
    <w:rsid w:val="00A734DE"/>
    <w:rsid w:val="00A73FE0"/>
    <w:rsid w:val="00A74B33"/>
    <w:rsid w:val="00A763FC"/>
    <w:rsid w:val="00A81304"/>
    <w:rsid w:val="00A81B48"/>
    <w:rsid w:val="00A82589"/>
    <w:rsid w:val="00A84858"/>
    <w:rsid w:val="00A937FD"/>
    <w:rsid w:val="00A974A1"/>
    <w:rsid w:val="00A9794D"/>
    <w:rsid w:val="00A97CAE"/>
    <w:rsid w:val="00AA3717"/>
    <w:rsid w:val="00AB0038"/>
    <w:rsid w:val="00AB08C2"/>
    <w:rsid w:val="00AB1D6C"/>
    <w:rsid w:val="00AB2E83"/>
    <w:rsid w:val="00AB60EB"/>
    <w:rsid w:val="00AB7FBE"/>
    <w:rsid w:val="00AC1B52"/>
    <w:rsid w:val="00AC1F03"/>
    <w:rsid w:val="00AC2BB9"/>
    <w:rsid w:val="00AD002C"/>
    <w:rsid w:val="00AD7CF9"/>
    <w:rsid w:val="00AE330B"/>
    <w:rsid w:val="00AE40A2"/>
    <w:rsid w:val="00AE4B58"/>
    <w:rsid w:val="00AE4E76"/>
    <w:rsid w:val="00AE723E"/>
    <w:rsid w:val="00AF0CBC"/>
    <w:rsid w:val="00AF1077"/>
    <w:rsid w:val="00AF16FD"/>
    <w:rsid w:val="00AF34FC"/>
    <w:rsid w:val="00AF6273"/>
    <w:rsid w:val="00B00A6B"/>
    <w:rsid w:val="00B01FAA"/>
    <w:rsid w:val="00B02FF9"/>
    <w:rsid w:val="00B04326"/>
    <w:rsid w:val="00B10C26"/>
    <w:rsid w:val="00B12968"/>
    <w:rsid w:val="00B14327"/>
    <w:rsid w:val="00B144A3"/>
    <w:rsid w:val="00B17156"/>
    <w:rsid w:val="00B210E8"/>
    <w:rsid w:val="00B22883"/>
    <w:rsid w:val="00B23694"/>
    <w:rsid w:val="00B24BB4"/>
    <w:rsid w:val="00B31C6E"/>
    <w:rsid w:val="00B344A6"/>
    <w:rsid w:val="00B345FF"/>
    <w:rsid w:val="00B36F9C"/>
    <w:rsid w:val="00B40BD5"/>
    <w:rsid w:val="00B424CD"/>
    <w:rsid w:val="00B5736E"/>
    <w:rsid w:val="00B60AE4"/>
    <w:rsid w:val="00B61DB4"/>
    <w:rsid w:val="00B61FBD"/>
    <w:rsid w:val="00B624B3"/>
    <w:rsid w:val="00B62B29"/>
    <w:rsid w:val="00B65604"/>
    <w:rsid w:val="00B66A15"/>
    <w:rsid w:val="00B7097D"/>
    <w:rsid w:val="00B7118E"/>
    <w:rsid w:val="00B71510"/>
    <w:rsid w:val="00B72C5E"/>
    <w:rsid w:val="00B72FB7"/>
    <w:rsid w:val="00B754D3"/>
    <w:rsid w:val="00B7619C"/>
    <w:rsid w:val="00B8125F"/>
    <w:rsid w:val="00B87860"/>
    <w:rsid w:val="00B9092D"/>
    <w:rsid w:val="00B93301"/>
    <w:rsid w:val="00B9397F"/>
    <w:rsid w:val="00B978F2"/>
    <w:rsid w:val="00BA0823"/>
    <w:rsid w:val="00BB0C7E"/>
    <w:rsid w:val="00BB4EB4"/>
    <w:rsid w:val="00BC09CF"/>
    <w:rsid w:val="00BC12AC"/>
    <w:rsid w:val="00BC188F"/>
    <w:rsid w:val="00BC43B0"/>
    <w:rsid w:val="00BD1DAC"/>
    <w:rsid w:val="00BD2FEF"/>
    <w:rsid w:val="00BD4B7D"/>
    <w:rsid w:val="00BE0BB5"/>
    <w:rsid w:val="00BE3C56"/>
    <w:rsid w:val="00BE611F"/>
    <w:rsid w:val="00BE6646"/>
    <w:rsid w:val="00BF0FAA"/>
    <w:rsid w:val="00BF1FAB"/>
    <w:rsid w:val="00BF2013"/>
    <w:rsid w:val="00C00089"/>
    <w:rsid w:val="00C04EF0"/>
    <w:rsid w:val="00C12C66"/>
    <w:rsid w:val="00C1777D"/>
    <w:rsid w:val="00C179A5"/>
    <w:rsid w:val="00C24AC6"/>
    <w:rsid w:val="00C264E0"/>
    <w:rsid w:val="00C31581"/>
    <w:rsid w:val="00C344C5"/>
    <w:rsid w:val="00C37206"/>
    <w:rsid w:val="00C40FB0"/>
    <w:rsid w:val="00C45830"/>
    <w:rsid w:val="00C463F1"/>
    <w:rsid w:val="00C501ED"/>
    <w:rsid w:val="00C51062"/>
    <w:rsid w:val="00C54D5A"/>
    <w:rsid w:val="00C61165"/>
    <w:rsid w:val="00C611CA"/>
    <w:rsid w:val="00C66619"/>
    <w:rsid w:val="00C67760"/>
    <w:rsid w:val="00C70106"/>
    <w:rsid w:val="00C71142"/>
    <w:rsid w:val="00C714FC"/>
    <w:rsid w:val="00C731B8"/>
    <w:rsid w:val="00C734EE"/>
    <w:rsid w:val="00C75D47"/>
    <w:rsid w:val="00C775AD"/>
    <w:rsid w:val="00C82352"/>
    <w:rsid w:val="00C824EC"/>
    <w:rsid w:val="00C90ED1"/>
    <w:rsid w:val="00C94BF0"/>
    <w:rsid w:val="00C94E1C"/>
    <w:rsid w:val="00C95D4A"/>
    <w:rsid w:val="00C95F1F"/>
    <w:rsid w:val="00CA2620"/>
    <w:rsid w:val="00CA366E"/>
    <w:rsid w:val="00CA520F"/>
    <w:rsid w:val="00CA565F"/>
    <w:rsid w:val="00CA5FA0"/>
    <w:rsid w:val="00CA6AA5"/>
    <w:rsid w:val="00CB0D3F"/>
    <w:rsid w:val="00CB1748"/>
    <w:rsid w:val="00CB1BE3"/>
    <w:rsid w:val="00CB6106"/>
    <w:rsid w:val="00CC0121"/>
    <w:rsid w:val="00CC0AEF"/>
    <w:rsid w:val="00CD3C2A"/>
    <w:rsid w:val="00CD52A2"/>
    <w:rsid w:val="00CD539A"/>
    <w:rsid w:val="00CD75B0"/>
    <w:rsid w:val="00CE2156"/>
    <w:rsid w:val="00CE568E"/>
    <w:rsid w:val="00CE670F"/>
    <w:rsid w:val="00CF0FA4"/>
    <w:rsid w:val="00CF2369"/>
    <w:rsid w:val="00CF32D6"/>
    <w:rsid w:val="00CF7317"/>
    <w:rsid w:val="00D02E4D"/>
    <w:rsid w:val="00D15BF8"/>
    <w:rsid w:val="00D16169"/>
    <w:rsid w:val="00D164E7"/>
    <w:rsid w:val="00D20911"/>
    <w:rsid w:val="00D21EB9"/>
    <w:rsid w:val="00D344AF"/>
    <w:rsid w:val="00D36013"/>
    <w:rsid w:val="00D3798C"/>
    <w:rsid w:val="00D37FB5"/>
    <w:rsid w:val="00D47CCD"/>
    <w:rsid w:val="00D50F25"/>
    <w:rsid w:val="00D55B39"/>
    <w:rsid w:val="00D6010B"/>
    <w:rsid w:val="00D622F3"/>
    <w:rsid w:val="00D72657"/>
    <w:rsid w:val="00D73644"/>
    <w:rsid w:val="00D75512"/>
    <w:rsid w:val="00D7690A"/>
    <w:rsid w:val="00D773DD"/>
    <w:rsid w:val="00D834C6"/>
    <w:rsid w:val="00D847D2"/>
    <w:rsid w:val="00D9136D"/>
    <w:rsid w:val="00D9227E"/>
    <w:rsid w:val="00D95C4C"/>
    <w:rsid w:val="00D970C5"/>
    <w:rsid w:val="00D9770D"/>
    <w:rsid w:val="00DA0BD6"/>
    <w:rsid w:val="00DA3616"/>
    <w:rsid w:val="00DA6744"/>
    <w:rsid w:val="00DB0BF0"/>
    <w:rsid w:val="00DB5DAC"/>
    <w:rsid w:val="00DC3D8D"/>
    <w:rsid w:val="00DC7741"/>
    <w:rsid w:val="00DD39C8"/>
    <w:rsid w:val="00DD4916"/>
    <w:rsid w:val="00DD5CF6"/>
    <w:rsid w:val="00DD7A39"/>
    <w:rsid w:val="00DF0583"/>
    <w:rsid w:val="00DF22B2"/>
    <w:rsid w:val="00DF26FD"/>
    <w:rsid w:val="00DF58AE"/>
    <w:rsid w:val="00DF6484"/>
    <w:rsid w:val="00E007D9"/>
    <w:rsid w:val="00E02505"/>
    <w:rsid w:val="00E02A0D"/>
    <w:rsid w:val="00E03EF3"/>
    <w:rsid w:val="00E041FF"/>
    <w:rsid w:val="00E042C1"/>
    <w:rsid w:val="00E0444B"/>
    <w:rsid w:val="00E138EF"/>
    <w:rsid w:val="00E15A26"/>
    <w:rsid w:val="00E179A0"/>
    <w:rsid w:val="00E21996"/>
    <w:rsid w:val="00E22F1F"/>
    <w:rsid w:val="00E26082"/>
    <w:rsid w:val="00E26B75"/>
    <w:rsid w:val="00E32212"/>
    <w:rsid w:val="00E32E6E"/>
    <w:rsid w:val="00E33134"/>
    <w:rsid w:val="00E3365B"/>
    <w:rsid w:val="00E3589B"/>
    <w:rsid w:val="00E42B77"/>
    <w:rsid w:val="00E470C6"/>
    <w:rsid w:val="00E47924"/>
    <w:rsid w:val="00E50F8F"/>
    <w:rsid w:val="00E520C6"/>
    <w:rsid w:val="00E5371D"/>
    <w:rsid w:val="00E5541F"/>
    <w:rsid w:val="00E557C5"/>
    <w:rsid w:val="00E5689F"/>
    <w:rsid w:val="00E56BD1"/>
    <w:rsid w:val="00E613A7"/>
    <w:rsid w:val="00E65868"/>
    <w:rsid w:val="00E659FA"/>
    <w:rsid w:val="00E66D81"/>
    <w:rsid w:val="00E707F5"/>
    <w:rsid w:val="00E71B6E"/>
    <w:rsid w:val="00E72B70"/>
    <w:rsid w:val="00E737D5"/>
    <w:rsid w:val="00E73BBA"/>
    <w:rsid w:val="00E75B86"/>
    <w:rsid w:val="00E77CC8"/>
    <w:rsid w:val="00E86819"/>
    <w:rsid w:val="00E9523F"/>
    <w:rsid w:val="00E9600C"/>
    <w:rsid w:val="00EA2BDA"/>
    <w:rsid w:val="00EA33F4"/>
    <w:rsid w:val="00EA3446"/>
    <w:rsid w:val="00EA54AE"/>
    <w:rsid w:val="00EA66A3"/>
    <w:rsid w:val="00EA6D4E"/>
    <w:rsid w:val="00EC0ABB"/>
    <w:rsid w:val="00EC32E5"/>
    <w:rsid w:val="00EC4B29"/>
    <w:rsid w:val="00ED0D04"/>
    <w:rsid w:val="00ED0D19"/>
    <w:rsid w:val="00ED21B3"/>
    <w:rsid w:val="00EE784C"/>
    <w:rsid w:val="00EF591C"/>
    <w:rsid w:val="00EF6579"/>
    <w:rsid w:val="00F02628"/>
    <w:rsid w:val="00F203EE"/>
    <w:rsid w:val="00F21E6B"/>
    <w:rsid w:val="00F226E9"/>
    <w:rsid w:val="00F24EC2"/>
    <w:rsid w:val="00F25479"/>
    <w:rsid w:val="00F309F2"/>
    <w:rsid w:val="00F31A6D"/>
    <w:rsid w:val="00F3313F"/>
    <w:rsid w:val="00F34EA0"/>
    <w:rsid w:val="00F355F6"/>
    <w:rsid w:val="00F40E73"/>
    <w:rsid w:val="00F42464"/>
    <w:rsid w:val="00F47A93"/>
    <w:rsid w:val="00F55468"/>
    <w:rsid w:val="00F56AC9"/>
    <w:rsid w:val="00F57583"/>
    <w:rsid w:val="00F5796A"/>
    <w:rsid w:val="00F6654B"/>
    <w:rsid w:val="00F668E3"/>
    <w:rsid w:val="00F66E44"/>
    <w:rsid w:val="00F70B07"/>
    <w:rsid w:val="00F73F30"/>
    <w:rsid w:val="00F76F08"/>
    <w:rsid w:val="00F819FF"/>
    <w:rsid w:val="00F830FD"/>
    <w:rsid w:val="00F838B2"/>
    <w:rsid w:val="00F87EE0"/>
    <w:rsid w:val="00F920CE"/>
    <w:rsid w:val="00F929B1"/>
    <w:rsid w:val="00F95EA9"/>
    <w:rsid w:val="00F977A0"/>
    <w:rsid w:val="00FA2F03"/>
    <w:rsid w:val="00FA374C"/>
    <w:rsid w:val="00FB31AF"/>
    <w:rsid w:val="00FB643B"/>
    <w:rsid w:val="00FC1F67"/>
    <w:rsid w:val="00FC5482"/>
    <w:rsid w:val="00FC6103"/>
    <w:rsid w:val="00FC691F"/>
    <w:rsid w:val="00FD008E"/>
    <w:rsid w:val="00FD0D1A"/>
    <w:rsid w:val="00FD28CA"/>
    <w:rsid w:val="00FE04B1"/>
    <w:rsid w:val="00FE3568"/>
    <w:rsid w:val="00FF1A39"/>
    <w:rsid w:val="00FF36B7"/>
    <w:rsid w:val="00FF6CE5"/>
    <w:rsid w:val="00FF7AEB"/>
    <w:rsid w:val="010A7330"/>
    <w:rsid w:val="01714809"/>
    <w:rsid w:val="01FA675C"/>
    <w:rsid w:val="02986877"/>
    <w:rsid w:val="056A4C71"/>
    <w:rsid w:val="05E11832"/>
    <w:rsid w:val="084E7652"/>
    <w:rsid w:val="0893255D"/>
    <w:rsid w:val="08BD0334"/>
    <w:rsid w:val="09C41099"/>
    <w:rsid w:val="09CE7CF1"/>
    <w:rsid w:val="0AB1291A"/>
    <w:rsid w:val="1169129C"/>
    <w:rsid w:val="13F70874"/>
    <w:rsid w:val="1538113A"/>
    <w:rsid w:val="157D50D3"/>
    <w:rsid w:val="16DD3C7C"/>
    <w:rsid w:val="18F72045"/>
    <w:rsid w:val="18F93D30"/>
    <w:rsid w:val="1AE12816"/>
    <w:rsid w:val="1B233F8B"/>
    <w:rsid w:val="1D645EA9"/>
    <w:rsid w:val="1FE002F3"/>
    <w:rsid w:val="209A38A4"/>
    <w:rsid w:val="212F71DF"/>
    <w:rsid w:val="2241194D"/>
    <w:rsid w:val="22724A84"/>
    <w:rsid w:val="25070E5D"/>
    <w:rsid w:val="25162E4E"/>
    <w:rsid w:val="253468E7"/>
    <w:rsid w:val="26D94E4A"/>
    <w:rsid w:val="29877C6F"/>
    <w:rsid w:val="2A133906"/>
    <w:rsid w:val="2C545CD3"/>
    <w:rsid w:val="2DF45CF7"/>
    <w:rsid w:val="2E254102"/>
    <w:rsid w:val="2E4F789D"/>
    <w:rsid w:val="30A20334"/>
    <w:rsid w:val="33175378"/>
    <w:rsid w:val="34AF7AB6"/>
    <w:rsid w:val="37A55295"/>
    <w:rsid w:val="38B25B49"/>
    <w:rsid w:val="3A347DAE"/>
    <w:rsid w:val="3A4A561C"/>
    <w:rsid w:val="3C77633E"/>
    <w:rsid w:val="3E3C34CE"/>
    <w:rsid w:val="3E4E3B50"/>
    <w:rsid w:val="3F0264C5"/>
    <w:rsid w:val="3F2A1578"/>
    <w:rsid w:val="3FE136B7"/>
    <w:rsid w:val="409317E1"/>
    <w:rsid w:val="423666FC"/>
    <w:rsid w:val="44A665F8"/>
    <w:rsid w:val="49E53AC5"/>
    <w:rsid w:val="4A1B2191"/>
    <w:rsid w:val="4A941636"/>
    <w:rsid w:val="4CCF3C39"/>
    <w:rsid w:val="4F813436"/>
    <w:rsid w:val="5080546D"/>
    <w:rsid w:val="52D056C6"/>
    <w:rsid w:val="555B7716"/>
    <w:rsid w:val="58DF37A3"/>
    <w:rsid w:val="59326C73"/>
    <w:rsid w:val="5C00369D"/>
    <w:rsid w:val="5F13124C"/>
    <w:rsid w:val="604F4CE6"/>
    <w:rsid w:val="607E751E"/>
    <w:rsid w:val="60D6609D"/>
    <w:rsid w:val="61671D60"/>
    <w:rsid w:val="64917878"/>
    <w:rsid w:val="6627685D"/>
    <w:rsid w:val="671B7875"/>
    <w:rsid w:val="68584BAF"/>
    <w:rsid w:val="68D924A6"/>
    <w:rsid w:val="69655512"/>
    <w:rsid w:val="697A278A"/>
    <w:rsid w:val="6A5512F0"/>
    <w:rsid w:val="6DA854AB"/>
    <w:rsid w:val="70C25205"/>
    <w:rsid w:val="71DC46D4"/>
    <w:rsid w:val="720A29C0"/>
    <w:rsid w:val="742177BE"/>
    <w:rsid w:val="74835383"/>
    <w:rsid w:val="751F49D4"/>
    <w:rsid w:val="7584385F"/>
    <w:rsid w:val="75FE435A"/>
    <w:rsid w:val="76364125"/>
    <w:rsid w:val="78570929"/>
    <w:rsid w:val="78931961"/>
    <w:rsid w:val="7D390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ind w:left="2520" w:leftChars="1200"/>
    </w:pPr>
  </w:style>
  <w:style w:type="paragraph" w:styleId="3">
    <w:name w:val="Document Map"/>
    <w:basedOn w:val="1"/>
    <w:link w:val="2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toc 5"/>
    <w:basedOn w:val="1"/>
    <w:next w:val="1"/>
    <w:semiHidden/>
    <w:qFormat/>
    <w:uiPriority w:val="0"/>
    <w:pPr>
      <w:ind w:left="1680" w:leftChars="800"/>
    </w:pPr>
  </w:style>
  <w:style w:type="paragraph" w:styleId="6">
    <w:name w:val="toc 3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210" w:leftChars="1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toc 8"/>
    <w:basedOn w:val="1"/>
    <w:next w:val="1"/>
    <w:semiHidden/>
    <w:qFormat/>
    <w:uiPriority w:val="0"/>
    <w:pPr>
      <w:ind w:left="2940" w:leftChars="1400"/>
    </w:pPr>
  </w:style>
  <w:style w:type="paragraph" w:styleId="9">
    <w:name w:val="Balloon Text"/>
    <w:basedOn w:val="1"/>
    <w:link w:val="26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4"/>
    <w:basedOn w:val="1"/>
    <w:next w:val="1"/>
    <w:semiHidden/>
    <w:qFormat/>
    <w:uiPriority w:val="0"/>
    <w:pPr>
      <w:ind w:left="1260" w:leftChars="600"/>
    </w:pPr>
  </w:style>
  <w:style w:type="paragraph" w:styleId="14">
    <w:name w:val="toc 6"/>
    <w:basedOn w:val="1"/>
    <w:next w:val="1"/>
    <w:semiHidden/>
    <w:qFormat/>
    <w:uiPriority w:val="0"/>
    <w:pPr>
      <w:ind w:left="2100" w:leftChars="1000"/>
    </w:pPr>
  </w:style>
  <w:style w:type="paragraph" w:styleId="15">
    <w:name w:val="toc 2"/>
    <w:basedOn w:val="1"/>
    <w:next w:val="1"/>
    <w:semiHidden/>
    <w:qFormat/>
    <w:uiPriority w:val="0"/>
    <w:pPr>
      <w:tabs>
        <w:tab w:val="right" w:leader="middleDot" w:pos="8720"/>
      </w:tabs>
      <w:spacing w:line="600" w:lineRule="exact"/>
      <w:ind w:left="480" w:hanging="480" w:hangingChars="150"/>
    </w:pPr>
  </w:style>
  <w:style w:type="paragraph" w:styleId="16">
    <w:name w:val="toc 9"/>
    <w:basedOn w:val="1"/>
    <w:next w:val="1"/>
    <w:semiHidden/>
    <w:qFormat/>
    <w:uiPriority w:val="0"/>
    <w:pPr>
      <w:ind w:left="3360" w:leftChars="1600"/>
    </w:pPr>
  </w:style>
  <w:style w:type="character" w:styleId="19">
    <w:name w:val="page number"/>
    <w:basedOn w:val="18"/>
    <w:qFormat/>
    <w:uiPriority w:val="0"/>
    <w:rPr>
      <w:rFonts w:cs="Times New Roman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qFormat/>
    <w:uiPriority w:val="0"/>
    <w:rPr>
      <w:rFonts w:cs="Times New Roman"/>
      <w:sz w:val="21"/>
      <w:szCs w:val="21"/>
    </w:rPr>
  </w:style>
  <w:style w:type="character" w:customStyle="1" w:styleId="22">
    <w:name w:val="页脚 Char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文字 Char"/>
    <w:basedOn w:val="18"/>
    <w:link w:val="4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">
    <w:name w:val="页眉 Char"/>
    <w:basedOn w:val="18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文档结构图 Char"/>
    <w:basedOn w:val="18"/>
    <w:link w:val="3"/>
    <w:qFormat/>
    <w:locked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6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7">
    <w:name w:val="Char Char3 Char Char Char Char"/>
    <w:basedOn w:val="1"/>
    <w:qFormat/>
    <w:uiPriority w:val="0"/>
    <w:rPr>
      <w:szCs w:val="21"/>
    </w:rPr>
  </w:style>
  <w:style w:type="paragraph" w:customStyle="1" w:styleId="28">
    <w:name w:val="默认段落字体 Para Char Char Char Char"/>
    <w:basedOn w:val="1"/>
    <w:qFormat/>
    <w:uiPriority w:val="0"/>
    <w:rPr>
      <w:sz w:val="32"/>
      <w:szCs w:val="32"/>
    </w:rPr>
  </w:style>
  <w:style w:type="paragraph" w:customStyle="1" w:styleId="29">
    <w:name w:val="Char Char Char Char Char Char Char"/>
    <w:basedOn w:val="1"/>
    <w:qFormat/>
    <w:uiPriority w:val="0"/>
    <w:rPr>
      <w:szCs w:val="21"/>
    </w:rPr>
  </w:style>
  <w:style w:type="character" w:customStyle="1" w:styleId="30">
    <w:name w:val=" Char Char1"/>
    <w:basedOn w:val="18"/>
    <w:semiHidden/>
    <w:qFormat/>
    <w:locked/>
    <w:uiPriority w:val="0"/>
    <w:rPr>
      <w:sz w:val="18"/>
      <w:szCs w:val="18"/>
    </w:rPr>
  </w:style>
  <w:style w:type="character" w:customStyle="1" w:styleId="31">
    <w:name w:val=" Char Char"/>
    <w:basedOn w:val="18"/>
    <w:semiHidden/>
    <w:qFormat/>
    <w:locked/>
    <w:uiPriority w:val="0"/>
    <w:rPr>
      <w:sz w:val="18"/>
      <w:szCs w:val="18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 Char Char3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 Char Char4"/>
    <w:basedOn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3114</Words>
  <Characters>3734</Characters>
  <Lines>30</Lines>
  <Paragraphs>8</Paragraphs>
  <TotalTime>189</TotalTime>
  <ScaleCrop>false</ScaleCrop>
  <LinksUpToDate>false</LinksUpToDate>
  <CharactersWithSpaces>3795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2021-02-09T03:59:00Z</dcterms:created>
  <dc:creator>薛涛</dc:creator>
  <cp:lastModifiedBy>Administrator</cp:lastModifiedBy>
  <cp:lastPrinted>2021-01-28T06:35:00Z</cp:lastPrinted>
  <dcterms:modified xsi:type="dcterms:W3CDTF">2025-06-17T03:45:00Z</dcterms:modified>
  <dc:title>编报说明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4D2B9AF0A3AA4621906EB6FAEB6E1C89</vt:lpwstr>
  </property>
</Properties>
</file>