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820" w:type="dxa"/>
        <w:tblInd w:w="0" w:type="dxa"/>
        <w:tblLayout w:type="fixed"/>
        <w:tblCellMar>
          <w:top w:w="0" w:type="dxa"/>
          <w:left w:w="108" w:type="dxa"/>
          <w:bottom w:w="0" w:type="dxa"/>
          <w:right w:w="108" w:type="dxa"/>
        </w:tblCellMar>
      </w:tblPr>
      <w:tblGrid>
        <w:gridCol w:w="1252"/>
        <w:gridCol w:w="4658"/>
        <w:gridCol w:w="3910"/>
      </w:tblGrid>
      <w:tr>
        <w:tblPrEx>
          <w:tblCellMar>
            <w:top w:w="0" w:type="dxa"/>
            <w:left w:w="108" w:type="dxa"/>
            <w:bottom w:w="0" w:type="dxa"/>
            <w:right w:w="108" w:type="dxa"/>
          </w:tblCellMar>
        </w:tblPrEx>
        <w:trPr>
          <w:trHeight w:val="624" w:hRule="atLeast"/>
        </w:trPr>
        <w:tc>
          <w:tcPr>
            <w:tcW w:w="9820" w:type="dxa"/>
            <w:gridSpan w:val="3"/>
            <w:vMerge w:val="restart"/>
            <w:tcBorders>
              <w:top w:val="nil"/>
              <w:left w:val="nil"/>
              <w:bottom w:val="nil"/>
              <w:right w:val="nil"/>
            </w:tcBorders>
            <w:shd w:val="clear" w:color="auto" w:fill="auto"/>
            <w:noWrap/>
            <w:vAlign w:val="center"/>
          </w:tcPr>
          <w:p>
            <w:pPr>
              <w:widowControl/>
              <w:jc w:val="left"/>
              <w:rPr>
                <w:rFonts w:ascii="宋体" w:hAnsi="宋体" w:eastAsia="宋体" w:cs="宋体"/>
                <w:kern w:val="0"/>
                <w:sz w:val="30"/>
                <w:szCs w:val="30"/>
              </w:rPr>
            </w:pPr>
            <w:r>
              <w:rPr>
                <w:rFonts w:hint="eastAsia" w:ascii="黑体" w:hAnsi="黑体" w:eastAsia="黑体" w:cs="黑体"/>
                <w:kern w:val="0"/>
                <w:sz w:val="32"/>
                <w:szCs w:val="32"/>
              </w:rPr>
              <w:t>附件2</w:t>
            </w:r>
          </w:p>
        </w:tc>
      </w:tr>
      <w:tr>
        <w:tblPrEx>
          <w:tblCellMar>
            <w:top w:w="0" w:type="dxa"/>
            <w:left w:w="108" w:type="dxa"/>
            <w:bottom w:w="0" w:type="dxa"/>
            <w:right w:w="108" w:type="dxa"/>
          </w:tblCellMar>
        </w:tblPrEx>
        <w:trPr>
          <w:trHeight w:val="312" w:hRule="atLeast"/>
        </w:trPr>
        <w:tc>
          <w:tcPr>
            <w:tcW w:w="9820" w:type="dxa"/>
            <w:gridSpan w:val="3"/>
            <w:vMerge w:val="continue"/>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75" w:hRule="atLeast"/>
        </w:trPr>
        <w:tc>
          <w:tcPr>
            <w:tcW w:w="9820" w:type="dxa"/>
            <w:gridSpan w:val="3"/>
            <w:tcBorders>
              <w:top w:val="nil"/>
              <w:left w:val="nil"/>
              <w:bottom w:val="nil"/>
              <w:right w:val="nil"/>
            </w:tcBorders>
            <w:shd w:val="clear" w:color="auto" w:fill="auto"/>
            <w:noWrap/>
            <w:vAlign w:val="center"/>
          </w:tcPr>
          <w:p>
            <w:pPr>
              <w:widowControl/>
              <w:jc w:val="center"/>
              <w:rPr>
                <w:rFonts w:ascii="创艺简标宋" w:hAnsi="宋体" w:eastAsia="创艺简标宋" w:cs="宋体"/>
                <w:kern w:val="0"/>
                <w:sz w:val="44"/>
                <w:szCs w:val="44"/>
              </w:rPr>
            </w:pPr>
            <w:r>
              <w:rPr>
                <w:rFonts w:hint="eastAsia" w:ascii="方正小标宋简体" w:hAnsi="方正小标宋简体" w:eastAsia="方正小标宋简体" w:cs="方正小标宋简体"/>
                <w:kern w:val="0"/>
                <w:sz w:val="44"/>
                <w:szCs w:val="44"/>
              </w:rPr>
              <w:t>部门行政职权事项目录汇总表</w:t>
            </w:r>
          </w:p>
        </w:tc>
      </w:tr>
      <w:tr>
        <w:tblPrEx>
          <w:tblCellMar>
            <w:top w:w="0" w:type="dxa"/>
            <w:left w:w="108" w:type="dxa"/>
            <w:bottom w:w="0" w:type="dxa"/>
            <w:right w:w="108" w:type="dxa"/>
          </w:tblCellMar>
        </w:tblPrEx>
        <w:trPr>
          <w:trHeight w:val="540" w:hRule="atLeast"/>
        </w:trPr>
        <w:tc>
          <w:tcPr>
            <w:tcW w:w="5910" w:type="dxa"/>
            <w:gridSpan w:val="2"/>
            <w:tcBorders>
              <w:top w:val="nil"/>
              <w:left w:val="nil"/>
              <w:bottom w:val="nil"/>
              <w:right w:val="nil"/>
            </w:tcBorders>
            <w:shd w:val="clear" w:color="auto" w:fill="auto"/>
            <w:noWrap/>
            <w:vAlign w:val="center"/>
          </w:tcPr>
          <w:p>
            <w:pPr>
              <w:widowControl/>
              <w:jc w:val="left"/>
              <w:rPr>
                <w:rFonts w:ascii="Courier New" w:hAnsi="Courier New" w:eastAsia="宋体" w:cs="宋体"/>
                <w:kern w:val="0"/>
                <w:sz w:val="32"/>
                <w:szCs w:val="32"/>
              </w:rPr>
            </w:pPr>
            <w:r>
              <w:rPr>
                <w:rFonts w:ascii="Courier New" w:hAnsi="Courier New" w:eastAsia="宋体" w:cs="宋体"/>
                <w:kern w:val="0"/>
                <w:sz w:val="32"/>
                <w:szCs w:val="32"/>
              </w:rPr>
              <w:t xml:space="preserve">  部门名称：     （公章）</w:t>
            </w:r>
          </w:p>
        </w:tc>
        <w:tc>
          <w:tcPr>
            <w:tcW w:w="391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w:t>
            </w:r>
          </w:p>
        </w:tc>
      </w:tr>
      <w:tr>
        <w:tblPrEx>
          <w:tblCellMar>
            <w:top w:w="0" w:type="dxa"/>
            <w:left w:w="108" w:type="dxa"/>
            <w:bottom w:w="0" w:type="dxa"/>
            <w:right w:w="108" w:type="dxa"/>
          </w:tblCellMar>
        </w:tblPrEx>
        <w:trPr>
          <w:trHeight w:val="855" w:hRule="atLeast"/>
        </w:trPr>
        <w:tc>
          <w:tcPr>
            <w:tcW w:w="12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Courier New" w:hAnsi="Courier New" w:eastAsia="宋体" w:cs="宋体"/>
                <w:b/>
                <w:bCs/>
                <w:kern w:val="0"/>
                <w:sz w:val="32"/>
                <w:szCs w:val="32"/>
              </w:rPr>
            </w:pPr>
            <w:r>
              <w:rPr>
                <w:rFonts w:ascii="Courier New" w:hAnsi="Courier New" w:eastAsia="宋体" w:cs="宋体"/>
                <w:b/>
                <w:bCs/>
                <w:kern w:val="0"/>
                <w:sz w:val="32"/>
                <w:szCs w:val="32"/>
              </w:rPr>
              <w:t>序号</w:t>
            </w:r>
          </w:p>
        </w:tc>
        <w:tc>
          <w:tcPr>
            <w:tcW w:w="465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Courier New" w:hAnsi="Courier New" w:eastAsia="宋体" w:cs="宋体"/>
                <w:b/>
                <w:bCs/>
                <w:kern w:val="0"/>
                <w:sz w:val="32"/>
                <w:szCs w:val="32"/>
              </w:rPr>
            </w:pPr>
            <w:r>
              <w:rPr>
                <w:rFonts w:hint="eastAsia" w:ascii="Courier New" w:hAnsi="Courier New" w:eastAsia="宋体" w:cs="宋体"/>
                <w:b/>
                <w:bCs/>
                <w:kern w:val="0"/>
                <w:sz w:val="32"/>
                <w:szCs w:val="32"/>
              </w:rPr>
              <w:t>事项名称</w:t>
            </w:r>
          </w:p>
        </w:tc>
        <w:tc>
          <w:tcPr>
            <w:tcW w:w="39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Courier New" w:hAnsi="Courier New" w:eastAsia="宋体" w:cs="宋体"/>
                <w:b/>
                <w:bCs/>
                <w:kern w:val="0"/>
                <w:sz w:val="32"/>
                <w:szCs w:val="32"/>
              </w:rPr>
            </w:pPr>
            <w:r>
              <w:rPr>
                <w:rFonts w:hint="eastAsia" w:ascii="Courier New" w:hAnsi="Courier New" w:eastAsia="宋体" w:cs="宋体"/>
                <w:b/>
                <w:bCs/>
                <w:kern w:val="0"/>
                <w:sz w:val="32"/>
                <w:szCs w:val="32"/>
              </w:rPr>
              <w:t>职权类别</w:t>
            </w:r>
          </w:p>
        </w:tc>
      </w:tr>
      <w:tr>
        <w:tblPrEx>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center"/>
              <w:rPr>
                <w:rFonts w:ascii="Courier New" w:hAnsi="Courier New" w:eastAsia="宋体" w:cs="宋体"/>
                <w:kern w:val="0"/>
                <w:sz w:val="32"/>
                <w:szCs w:val="32"/>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i w:val="0"/>
                <w:color w:val="000000"/>
                <w:kern w:val="0"/>
                <w:sz w:val="24"/>
                <w:szCs w:val="24"/>
                <w:u w:val="none"/>
                <w:lang w:val="en-US" w:eastAsia="zh-CN" w:bidi="ar"/>
              </w:rPr>
              <w:t>道路旅客运输经营许可</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center"/>
              <w:rPr>
                <w:rFonts w:ascii="Courier New" w:hAnsi="Courier New" w:eastAsia="宋体" w:cs="宋体"/>
                <w:kern w:val="0"/>
                <w:sz w:val="32"/>
                <w:szCs w:val="32"/>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i w:val="0"/>
                <w:color w:val="000000"/>
                <w:kern w:val="0"/>
                <w:sz w:val="24"/>
                <w:szCs w:val="24"/>
                <w:u w:val="none"/>
                <w:lang w:val="en-US" w:eastAsia="zh-CN" w:bidi="ar"/>
              </w:rPr>
              <w:t>道路客运班线经营许可</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center"/>
              <w:rPr>
                <w:rFonts w:ascii="Courier New" w:hAnsi="Courier New" w:eastAsia="宋体" w:cs="宋体"/>
                <w:kern w:val="0"/>
                <w:sz w:val="32"/>
                <w:szCs w:val="32"/>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i w:val="0"/>
                <w:color w:val="000000"/>
                <w:kern w:val="0"/>
                <w:sz w:val="24"/>
                <w:szCs w:val="24"/>
                <w:u w:val="none"/>
                <w:lang w:val="en-US" w:eastAsia="zh-CN" w:bidi="ar"/>
              </w:rPr>
              <w:t>道路货运经营许可</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center"/>
              <w:rPr>
                <w:rFonts w:ascii="Courier New" w:hAnsi="Courier New" w:eastAsia="宋体" w:cs="宋体"/>
                <w:kern w:val="0"/>
                <w:sz w:val="32"/>
                <w:szCs w:val="32"/>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i w:val="0"/>
                <w:color w:val="000000"/>
                <w:kern w:val="0"/>
                <w:sz w:val="24"/>
                <w:szCs w:val="24"/>
                <w:u w:val="none"/>
                <w:lang w:val="en-US" w:eastAsia="zh-CN" w:bidi="ar"/>
              </w:rPr>
              <w:t>机动车维修经营备案</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center"/>
              <w:rPr>
                <w:rFonts w:ascii="Courier New" w:hAnsi="Courier New" w:eastAsia="宋体" w:cs="宋体"/>
                <w:kern w:val="0"/>
                <w:sz w:val="32"/>
                <w:szCs w:val="32"/>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i w:val="0"/>
                <w:color w:val="000000"/>
                <w:kern w:val="0"/>
                <w:sz w:val="24"/>
                <w:szCs w:val="24"/>
                <w:u w:val="none"/>
                <w:lang w:val="en-US" w:eastAsia="zh-CN" w:bidi="ar"/>
              </w:rPr>
              <w:t>机动车驾驶员培训经营许可</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center"/>
              <w:rPr>
                <w:rFonts w:ascii="Courier New" w:hAnsi="Courier New" w:eastAsia="宋体" w:cs="宋体"/>
                <w:kern w:val="0"/>
                <w:sz w:val="32"/>
                <w:szCs w:val="32"/>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i w:val="0"/>
                <w:color w:val="000000"/>
                <w:kern w:val="0"/>
                <w:sz w:val="24"/>
                <w:szCs w:val="24"/>
                <w:u w:val="none"/>
                <w:lang w:val="en-US" w:eastAsia="zh-CN" w:bidi="ar"/>
              </w:rPr>
              <w:t>出租汽车经营许可</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center"/>
              <w:rPr>
                <w:rFonts w:ascii="Courier New" w:hAnsi="Courier New" w:eastAsia="宋体" w:cs="宋体"/>
                <w:kern w:val="0"/>
                <w:sz w:val="32"/>
                <w:szCs w:val="32"/>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乡道和村道建设项目的实行施工许可</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center"/>
              <w:rPr>
                <w:rFonts w:hint="eastAsia"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因工程建设，确需占用、挖掘农村公路或者使农村公路改线的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center"/>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跨越、穿越农村公路修建桥梁、渡槽或者架设、埋设管线等设施的，以及在公路用地范围内架设、埋设管线、电缆等设施的。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在建筑控制区内架设、埋设管线、电缆等设施的。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更新、砍伐农村公路用地范围内的绿化林木。</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铁轮车、履带车和其他可能损害公路路面的机具或者车辆不得擅自在公路上行驶。</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在农村公路及其用地范围内设置公路标志以外的其他标志。</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禁止超限车辆在农村上行驶</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渔业船舶及船用产品检验</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船舶进入或穿越禁航区审批</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水上水下活动许可（通航水域岸线安全使用）</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水上水下活动许可（内河载运或拖带超限物体）</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水上水下活动许可（勘探、采掘、爆破）</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水上水下活动许可（航道建设，航道、码头前沿水域疏浚）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水上水下活动许可（构筑、设置、维修、拆除水上水下构筑物或者设施）</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水上水下活动许可（架设桥梁索道）</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水上水下活动许可（设置系船浮筒、浮趸、缆桩等设施）</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水上水下活动许可（大型群众性活动、体育比赛）</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水上水下活动许可（铺设、检修、拆除水上水下电缆或者管道）</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内河通航水域载运或拖带超重、超长、超高、超宽、半潜物体许可</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建设港口设施使用非深水岸线审批</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港口经营许可</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港口采掘、爆破施工作业许可</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新建、改建、扩建从事港口危险货物作业的建设项目安全条件审查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港口危险货物作业的建设项目安全设施设计审查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90"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国省道上中桥及以下危桥改造、县道上中桥及以下改造实施方案及施工图设计审批</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重要农村公路项目施工图设计审批</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经营性道路客货运输驾驶员从业资格考试、证件发放和管理</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道路危险货物运输驾驶员从业资格考试、证件发放和管理</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道路运输从业人员从业资格考试、证件发放和管理（不含危险货物运输）</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市域内水路运输审批</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水路运输企业设立及经营跨省辖市水路运输审批</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水运工程专业丙级监理资质许可</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农村公路、危桥改造计划的编制与申报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水运建设项目计划的编制与申报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客货运场站建设项目计划的编制与申报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客货运场站建设项目申请报告、设计文件的编制与申报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农村公路危桥（大桥及以上）改造项目实施方案的编制与申报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因修建铁路、机场、供电、水利、通信等建设工程需要占用、挖掘公路用地许可（高速公路、国省干线公路除外）</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在公路用地范围内架设、埋设管道、电缆等设施许可（高速公路、国省干线公路除外）</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在公路上增设或者改造平面交叉道口施工许可</w:t>
            </w:r>
          </w:p>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（高速公路、国省干线公路除外）</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在公路建筑控制区内埋设管道、电缆等设施许</w:t>
            </w:r>
          </w:p>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可（高速公路、国省干线公路除外）</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在公路用地范围内设置非公路标志（高速公</w:t>
            </w:r>
          </w:p>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路、国省干线公路除外）</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在公路周边一定范围内因抢险、防汛需要修筑堤坝、压缩或者拓宽河床行为的受理与申报（高速公路、国省干线公路除外）</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省际道路旅客运输经营许可的受理与审批</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市际道路旅客运输经营许可的受理与审批</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航道养护计划的编制与申报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水运建设项目工可报告、设计文件的编制与</w:t>
            </w:r>
          </w:p>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申报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专用航标的设置、撤除、位移和其他状况改变审批</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港口内进行危险货物的装卸、过驳作业许可</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新增客船、危险品船投入运营审批</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船舶国籍证书核发</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经营国内船舶管理业务审批</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危险货物道路运输从业人员资格许可</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道路旅客运输驾驶员资格证核发</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高速客船操作安全证书核发</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道路普通货物运输驾驶员资格证核发</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船员适任证书核发</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通航建筑物运行方案审批</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eastAsia="zh-CN"/>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县际道路旅客运输经营许可</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行政许可</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jc w:val="both"/>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rPr>
              <w:t>擅自占用、挖掘公路，未经同意或按照公路工程技术标准修建桥梁、渡槽或者架设、埋设管线、电缆等设施；铁轮车、履带车和其他可能损害路面的机具擅自在公路上行驶；擅自超限行驶；损坏移动、涂改公路附属设施或者损坏、挪用公路建筑控制区的标桩、界桩；从事危及公路安全作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jc w:val="both"/>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rPr>
              <w:t>造成公路路面损坏、污染或者影响公路畅通的，或者将公路作为试车场地的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before="157" w:beforeLines="50" w:line="240" w:lineRule="auto"/>
              <w:ind w:left="0" w:leftChars="0" w:right="0" w:rightChars="0" w:firstLine="0" w:firstLineChars="0"/>
              <w:jc w:val="both"/>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rPr>
              <w:t>造成公路路面损坏、未报告的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before="157" w:beforeLines="50" w:line="240" w:lineRule="auto"/>
              <w:ind w:left="0" w:leftChars="0" w:right="0" w:rightChars="0" w:firstLine="0" w:firstLineChars="0"/>
              <w:jc w:val="both"/>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rPr>
              <w:t>在公路用地范围内设置非公路标志</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keepNext w:val="0"/>
              <w:keepLines w:val="0"/>
              <w:pageBreakBefore w:val="0"/>
              <w:kinsoku/>
              <w:wordWrap/>
              <w:overflowPunct/>
              <w:topLinePunct w:val="0"/>
              <w:autoSpaceDE/>
              <w:autoSpaceDN/>
              <w:bidi w:val="0"/>
              <w:adjustRightInd/>
              <w:snapToGrid/>
              <w:spacing w:before="157" w:beforeLines="50" w:line="240" w:lineRule="auto"/>
              <w:ind w:left="0" w:leftChars="0" w:right="0" w:rightChars="0" w:firstLine="0" w:firstLineChars="0"/>
              <w:jc w:val="both"/>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rPr>
              <w:t>擅自在公路上增设平面交叉道口的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widowControl/>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rPr>
              <w:t xml:space="preserve">在公路建筑控制区内修建建筑物、地面构筑物或者擅自埋设管线、电缆等设施的 </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widowControl/>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rPr>
              <w:t>利用公路桥梁进行牵拉、吊装等危及公路桥梁安全的施工作业，利用公路桥梁（含桥下空间），公路隧道，涵洞堆放物品，搭建设施辅高压电线和输送易燃、易爆或者其他有毒有害气体、液体的管道</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before="157" w:beforeLines="50" w:line="240" w:lineRule="auto"/>
              <w:ind w:left="0" w:leftChars="0" w:right="0" w:rightChars="0" w:firstLine="0" w:firstLineChars="0"/>
              <w:jc w:val="both"/>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rPr>
              <w:t>涉路工程设施影响公路完好、安全和畅通的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keepNext w:val="0"/>
              <w:keepLines w:val="0"/>
              <w:pageBreakBefore w:val="0"/>
              <w:kinsoku/>
              <w:wordWrap/>
              <w:overflowPunct/>
              <w:topLinePunct w:val="0"/>
              <w:autoSpaceDE/>
              <w:autoSpaceDN/>
              <w:bidi w:val="0"/>
              <w:adjustRightInd/>
              <w:snapToGrid/>
              <w:spacing w:before="157" w:beforeLines="50" w:line="240" w:lineRule="auto"/>
              <w:ind w:left="0" w:leftChars="0" w:right="0" w:rightChars="0" w:firstLine="0" w:firstLineChars="0"/>
              <w:jc w:val="both"/>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rPr>
              <w:t>未经批准更新采伐护路林</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widowControl/>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rPr>
              <w:t>在公路上行驶的车辆，车货总体外廓尺寸、轴荷或者总质量超过公路、公路桥梁、公路隧道、汽车渡船限定标准</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before="157" w:beforeLines="50" w:line="240" w:lineRule="auto"/>
              <w:ind w:left="0" w:leftChars="0" w:right="0" w:rightChars="0" w:firstLine="0" w:firstLineChars="0"/>
              <w:jc w:val="both"/>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rPr>
              <w:t>租借、转让超限运输车辆通行证</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keepNext w:val="0"/>
              <w:keepLines w:val="0"/>
              <w:pageBreakBefore w:val="0"/>
              <w:kinsoku/>
              <w:wordWrap/>
              <w:overflowPunct/>
              <w:topLinePunct w:val="0"/>
              <w:autoSpaceDE/>
              <w:autoSpaceDN/>
              <w:bidi w:val="0"/>
              <w:adjustRightInd/>
              <w:snapToGrid/>
              <w:spacing w:before="157" w:beforeLines="50" w:line="240" w:lineRule="auto"/>
              <w:ind w:left="0" w:leftChars="0" w:right="0" w:rightChars="0" w:firstLine="0" w:firstLineChars="0"/>
              <w:jc w:val="both"/>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rPr>
              <w:t>使用伪造、变造的超限运输车辆通行证</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lang w:val="en-US" w:eastAsia="zh-CN"/>
              </w:rPr>
              <w:t>采取故意堵塞固定超限检测站点通行车道、强行通过固定超限检测站点等方式扰乱超限检测秩序；采取短途驳载等方式逃避超限检测</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lang w:val="en-US" w:eastAsia="zh-CN"/>
              </w:rPr>
              <w:t>车辆装载物触地拖行、掉落、遗洒或者飘散，造成公路路面损坏、污染</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lang w:val="en-US" w:eastAsia="zh-CN"/>
              </w:rPr>
              <w:t>公路养护作业单位未按照国务院交通运输主管部门规定的技术规范和操作规程进行公路养护作业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未取得道路运输经营许可，擅自从事道路运输经营的处罚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不符合规定条件的人员驾驶道路运输经营车辆的处罚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客运经营者、货运经营者、道路运输相关业务经营者非法转让、出租道路运输许可证件的处罚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客运经营者、货运经营者不按规定携带车辆营运证的处罚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客运经营者不按批准的客运站点停靠或者不按规定的线路、公布的班次行驶的处罚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客运经营者、货运经营者强行招揽旅客、货物的处罚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客运经营者  在旅客运输途中擅自变更运输车辆或者将旅客移交他人运输的处罚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货运经营者没有采取必要措施防止货物脱落、扬撒等的处罚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客货运经营者不按规定维护和检测运输车辆的处罚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客货运经营者擅自改装已取得营运证的车辆的处罚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未取得道路货物运输经营许可，擅自从事道路货物运输经营的处罚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使用失效、伪造、变造、被注销等无效的道路运输经营许可证件从事道路货物运输经营的处罚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取得道路货物运输经营许可的道路货物运输经营者使用无道路运输证的车辆参加货物运输的处罚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未取得道路危险货物运输许可擅自从事道路危险货物运输的处罚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使用失效、伪造、变造、被注销等无效道路危险货物运输许可证件从事道路危险货物运输处罚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超越许可事项，从事道路危险货物运输的处罚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非经营性道路危险货物运输单位从事道路危险货物运输经营的处罚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道路危险货物运输企业或单位非法转让、出租道路危险货物运输许可证件的处罚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道路危险货物运输企业或单位未按规定维护和检测专用车辆的处罚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从事道路危险化学品运输的驾驶人员、押运人员、装卸管理人员未取得从业资格证的处罚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未根据危险化学品的危险特性采取相应的安全防护措施，或者未配备必要的防护用品和应急救援器材的处罚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运输危险化学品需要抑制剂或者稳定剂，托运人未添加或者未将有关情况告知承运人的处罚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道路危险货物运输企业擅自改装已取得《道路运输证》的专用车辆及罐式专用车辆罐体的处罚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未取得道路客运经营许可，擅自从事道路客运经营的处罚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未取得道路客运班线经营许可，擅自从事班车客运经营的处罚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使用失效、伪造、变造、被注销等无效的道路客运许可证件从事道路客运经营的处罚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超越许可事项，从事道路客运经营的处罚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取得客运经营许可的客运经营者使用无《道路运输证》的车辆参加客运经营的处罚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道路运输从业人员未取得相应从业资格证件，驾驶道路客货运输车辆的处罚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使用失效、伪造、变造的从业资格证件，驾驶道路客货运输车辆的处罚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超越从业资格证件核定范围，驾驶道路客货运输车辆的处罚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违反包车管理有关规定的。1、客运包车未持有效的包车客运包车牌进行经营的处罚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 xml:space="preserve">违反包车管理有关规定的。2、不按照包车客运标志牌载明的事项运行的处罚 </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违反包车管理有关规定的。3、线路两端均不在车籍所在地的处罚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违反包车管理有关规定的。4、按班车模式定点定线运营的处罚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违反包车管理有关规定的。5、招揽包车合同以外的旅客乘车的处罚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不按规定投保承运人责任险的。1、未为旅客投保承运人责任险的处罚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不按规定投保承运人责任险的。2、未按最低投保限额投保的处罚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不按规定投保承运人责任险的。3、投保的承运人责任险已过期，未继续投保的处罚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未按规定悬挂或者张贴客运线路标志牌和里程票价表的处罚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客运包车经营者其线路一端不在车籍所在地或者招揽包车合同外旅客乘车的处罚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运输有毒、腐蚀、放射性危险货物的车辆和运输危险货物的罐式专用车辆运输普通货物的处罚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货运源头单位为无牌无证或者证照不全的货运车辆装（配）货物的处罚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货运源头单位为货运车辆超标准装载货物并放行的处罚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委托未依法取得危险货物道路运输许可的企业承运危险化学品的处罚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在托运的普通货物中夹带危险化学品，或者将危险化学品谎报或者匿报为普通货物托运的处罚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1年内违法超限运输超过3次的货运车辆处罚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指使、强令车辆驾驶人超限运输货物处罚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1年内违法超限运输超过3次的货运车辆驾驶人处罚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道路运输企业1年内违法超限运输的货运车辆超过本单位货运车辆总数10%的处罚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货运源头单位未安装合格的称量和计量设备的处罚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货运源头单位未建立货运车辆驾驶和放行岗位职责及责任追究制度的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货运源头单位货物装运前未对货运车辆及驾驶员的车辆营运证和从业资格证进行查验登记的处罚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0" w:leftChars="0" w:firstLine="0" w:firstLineChars="0"/>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rPr>
              <w:t>货运源头单位为货运车辆提供虚假装载证明的处罚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jc w:val="left"/>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未经许可擅自从事道路运输站（场）经营、机动车维修经营、机动车驾驶员培训的处罚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jc w:val="both"/>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客运经营者、危险货物运输经营者未按规定投保乘运人责任险的处罚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jc w:val="both"/>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客运经营者未报告原许可机关，擅自终止客运经营的处罚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jc w:val="both"/>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道路运输站（场）经营者允许无证经营的车辆从事经营活动以及超载车辆、未经安全检查的车辆出站或者无正当理由拒绝道路运输车辆进站从事经营活动的处罚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jc w:val="both"/>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道路运输站（场）经营者擅自改变道路运输站（场）的用途和服务功能，或者不公布运输线路、起止经停站点、运输班次、始发时间、票价的处罚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jc w:val="both"/>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机动车维修经营者使用假冒伪劣配件维修机动车，承修已报废的机动车或者擅自改装机动车的处罚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jc w:val="both"/>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机动车维修经营者签发虚假的机动车维修合格证的处罚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jc w:val="both"/>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机动车驾驶员培训机构不严格按照规定进行培训或者在培训结业证书发放时弄虚作假的处罚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道路货物运输经营者、货运站经营者不具备开业要求的有关安全条件、存在重大运输安全隐患的处罚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道路运输经营者未取得货运站经营许可，擅自从事货运站经营的处罚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使用失效、伪造、变造、被注销等无效的道路运输经营许可证件从事货运站经营的处罚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道路运输经营者超越许可的事项，从事货运站经营的处罚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机动车综合性能检测机构不按国家有关技术规范进行检测、未经检测出具检测结果或者不如实出具检测结果的处罚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托运人不向承运人说明所托运的危险化学品的种类、数量、危害特性以及发生危险情况的应急处置措施，或者未按照国家有关规定对所托运的危险化学品妥善包装并在外包装上设置相应标志的处罚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道路危险货物运输企业或者单位未配备专职安全管理人员的处罚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未取得机动车驾驶员培训许可证件，非法从事机动车驾驶员培训业务的处罚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使用无效、伪造、变造、被注销的机动车驾驶员培训许可证件，非法从事机动车驾驶员培训业务的处罚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top"/>
          </w:tcPr>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超越许可事项，非法从事机动车驾驶员培训业务的处罚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机动车驾驶员培训机构非法转让、出租机动车驾驶员培训许可证件的处罚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机动车驾驶员培训机构未按照全国统一的教学大纲进行培训的处罚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机动车驾驶员培训机构未向培训结业的人员颁发《结业证书》的处罚　</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机动车驾驶员培训机构向培训未结业的人员颁发《结业证书》的处罚　</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机动车驾驶员培训机构向未参加培训的人员颁发《结业证书》的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机动车驾驶员培训机构使用无效、伪造、变造《结业证书》的处罚　</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机动车驾驶员培训机构租用其他机动车驾驶员培训机构《结业证书》的处罚　</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机动车维修、机动车驾驶员培训、机动车综合性能检测经营者未按规定公布服务内容、费目费率的处罚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二级以上道路旅客运输站未配置使用行包安全检查设备的处罚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从事道路货运代理、联运服务的经营者将受理的运输货物交由不具有经营资格的承运人承运的处罚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从事机动车驾驶员培训的教练车辆未安装使用学时记录仪的处罚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机动车维修、机动车驾驶员培训、机动车综合性能检测经营者超出核定的许可范围经营的处罚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擅自暂停、终止全部或者部分出租汽车经营的。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出租或者擅自转让出租汽车车辆经营权的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出租汽车驾驶员转包经营未及时纠正的。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不按照规定保证车辆技术状况良好的。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未向出租汽车驾驶员公开收费项目、收费标准的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不按照规定配置出租汽车相关设备的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不按照规定建立并落实投诉举报制度的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拒载、议价、途中甩客或者有意绕道行驶的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未经乘客同意搭载其他乘客的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不按照规定使用计价器、违规收费的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不按照规定出具相应车费票据的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不按照规定使用出租汽车相关设备的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接受出租汽车电召任务后未履行约定的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不按照规定使用文明用语，车容车貌不符合要求的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在机场、火车站、汽车客运站、港口、公共交通枢纽等客流集散地不服从调度私自揽客的。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转让、倒卖、伪造出租汽车相关票据的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驾驶预约出租汽车巡游揽客的</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对未经许可擅自经营或者超越许可范围经营水路运输业务行为的行政处罚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对船舶进出港报告的行政处罚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对水路运输经营者使用未取得船舶营运证件的船舶从事水路运输行为的行政处罚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对未经主管部门同意擅自设置专用航标行为的行政处罚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对未按主管部门意见设置必要的航标行为的行政处罚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对在通航水域上建设桥梁等建筑物未按照规定设置航标等设施行为的行政处罚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对从事内河船舶船员服务业务备案的行政处罚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对从事水路运输经营的船舶未随船携带船舶营运证件行为的行政处罚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对水路运输经营者使用未取得船舶营运证件的船舶从事水路运输行为的行政处罚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6"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对实施危害航标、危害航标辅助设施或者影响航标工作效能行为的行政处罚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6"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对危害航道通通航安全行为的行政处罚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6"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对渡口船舶未标明识别标志、载客定额、安全注意事项的处罚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6"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对伪造、变造、买卖、转借、冒用船舶检验证书、船舶登记证书、船员适任证书或者其他适任证件的处罚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行政处罚</w:t>
            </w:r>
          </w:p>
        </w:tc>
      </w:tr>
      <w:tr>
        <w:tblPrEx>
          <w:tblCellMar>
            <w:top w:w="0" w:type="dxa"/>
            <w:left w:w="108" w:type="dxa"/>
            <w:bottom w:w="0" w:type="dxa"/>
            <w:right w:w="108" w:type="dxa"/>
          </w:tblCellMar>
        </w:tblPrEx>
        <w:trPr>
          <w:trHeight w:val="46"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outlineLvl w:val="9"/>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在公路建筑控制区内修建建筑物、地面构筑物或者擅自埋设管线、电缆等设施。在公路建筑控制区外修建的建筑物、地面构筑物以及其他设施遮挡公路标志或者妨碍安全视距</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行政强制</w:t>
            </w:r>
          </w:p>
        </w:tc>
      </w:tr>
      <w:tr>
        <w:tblPrEx>
          <w:tblCellMar>
            <w:top w:w="0" w:type="dxa"/>
            <w:left w:w="108" w:type="dxa"/>
            <w:bottom w:w="0" w:type="dxa"/>
            <w:right w:w="108" w:type="dxa"/>
          </w:tblCellMar>
        </w:tblPrEx>
        <w:trPr>
          <w:trHeight w:val="46"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outlineLvl w:val="9"/>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经批准进行超限运输的车辆，未按照指定时间、路线和速度行驶。采取故意堵塞固定超限检测站点通行车道、强行通过固定超限检测站点等方式扰乱超限检测秩序；采取短途驳载等方式逃避超限检测。造成公路、公路附属设施损坏，拒不接受公路管理机构现场调查处理</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行政强制</w:t>
            </w:r>
          </w:p>
        </w:tc>
      </w:tr>
      <w:tr>
        <w:tblPrEx>
          <w:tblCellMar>
            <w:top w:w="0" w:type="dxa"/>
            <w:left w:w="108" w:type="dxa"/>
            <w:bottom w:w="0" w:type="dxa"/>
            <w:right w:w="108" w:type="dxa"/>
          </w:tblCellMar>
        </w:tblPrEx>
        <w:trPr>
          <w:trHeight w:val="46"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outlineLvl w:val="9"/>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暂扣车辆</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行政强制</w:t>
            </w:r>
          </w:p>
        </w:tc>
      </w:tr>
      <w:tr>
        <w:tblPrEx>
          <w:tblCellMar>
            <w:top w:w="0" w:type="dxa"/>
            <w:left w:w="108" w:type="dxa"/>
            <w:bottom w:w="0" w:type="dxa"/>
            <w:right w:w="108" w:type="dxa"/>
          </w:tblCellMar>
        </w:tblPrEx>
        <w:trPr>
          <w:trHeight w:val="46"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outlineLvl w:val="9"/>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暂扣证件</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行政强制</w:t>
            </w:r>
          </w:p>
        </w:tc>
      </w:tr>
      <w:tr>
        <w:tblPrEx>
          <w:tblCellMar>
            <w:top w:w="0" w:type="dxa"/>
            <w:left w:w="108" w:type="dxa"/>
            <w:bottom w:w="0" w:type="dxa"/>
            <w:right w:w="108" w:type="dxa"/>
          </w:tblCellMar>
        </w:tblPrEx>
        <w:trPr>
          <w:trHeight w:val="46"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outlineLvl w:val="9"/>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rPr>
              <w:t>擅自占用、挖掘公路，未经同意或按照公路工程技术标准修建桥梁、渡槽或者架设、埋设管线、电缆等设施；铁轮车、履带车和其他可能损害路面的机具擅自在公路上行驶；擅自超限行驶；损坏移动、涂改公路附属设施或者损坏、挪用公路建筑控制区的标桩、界桩；从事危及公路安全作业的处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行政强制</w:t>
            </w:r>
          </w:p>
        </w:tc>
      </w:tr>
      <w:tr>
        <w:tblPrEx>
          <w:tblCellMar>
            <w:top w:w="0" w:type="dxa"/>
            <w:left w:w="108" w:type="dxa"/>
            <w:bottom w:w="0" w:type="dxa"/>
            <w:right w:w="108" w:type="dxa"/>
          </w:tblCellMar>
        </w:tblPrEx>
        <w:trPr>
          <w:trHeight w:val="46"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bidi="ar-SA"/>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eastAsia="zh-CN"/>
              </w:rPr>
              <w:t>船舶、浮动设施未持有合格的检验证书、登记证书或者船舶未持有必要的航行资料，擅自航行或者作业的，由海事管理机构责令停止航行或者作业；拒不停止的，暂扣船舶、浮动设施；情节严重的，予以没收。</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行政强制</w:t>
            </w:r>
          </w:p>
        </w:tc>
      </w:tr>
      <w:tr>
        <w:tblPrEx>
          <w:tblCellMar>
            <w:top w:w="0" w:type="dxa"/>
            <w:left w:w="108" w:type="dxa"/>
            <w:bottom w:w="0" w:type="dxa"/>
            <w:right w:w="108" w:type="dxa"/>
          </w:tblCellMar>
        </w:tblPrEx>
        <w:trPr>
          <w:trHeight w:val="46"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eastAsia="zh-CN"/>
              </w:rPr>
              <w:t>对违反航道通航条件影响评价的规定建成的项目导致航道通航条件严重下降的，逾期未采取补救措施或者拆除等行为的行政强制</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行政强制</w:t>
            </w:r>
          </w:p>
        </w:tc>
      </w:tr>
      <w:tr>
        <w:tblPrEx>
          <w:tblCellMar>
            <w:top w:w="0" w:type="dxa"/>
            <w:left w:w="108" w:type="dxa"/>
            <w:bottom w:w="0" w:type="dxa"/>
            <w:right w:w="108" w:type="dxa"/>
          </w:tblCellMar>
        </w:tblPrEx>
        <w:trPr>
          <w:trHeight w:val="46"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eastAsia="zh-CN"/>
              </w:rPr>
              <w:t>对未经依法批准在港口内进行采掘、爆破等活动的，向港口水域倾倒泥土、砂石行为的行政强制</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行政强制</w:t>
            </w:r>
          </w:p>
        </w:tc>
      </w:tr>
      <w:tr>
        <w:tblPrEx>
          <w:tblCellMar>
            <w:top w:w="0" w:type="dxa"/>
            <w:left w:w="108" w:type="dxa"/>
            <w:bottom w:w="0" w:type="dxa"/>
            <w:right w:w="108" w:type="dxa"/>
          </w:tblCellMar>
        </w:tblPrEx>
        <w:trPr>
          <w:trHeight w:val="46"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eastAsia="zh-CN"/>
              </w:rPr>
              <w:t>未经批准擅自设置或者撤销渡口的，由渡口所在地县级人民政府指定的部门责令限期改正；逾期不改正的，予以强制拆除或者恢复，因强制拆除或者恢复发生的费用分别由设置人、撤销人承担。</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行政强制</w:t>
            </w:r>
          </w:p>
        </w:tc>
      </w:tr>
      <w:tr>
        <w:tblPrEx>
          <w:tblCellMar>
            <w:top w:w="0" w:type="dxa"/>
            <w:left w:w="108" w:type="dxa"/>
            <w:bottom w:w="0" w:type="dxa"/>
            <w:right w:w="108" w:type="dxa"/>
          </w:tblCellMar>
        </w:tblPrEx>
        <w:trPr>
          <w:trHeight w:val="46"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eastAsia="zh-CN"/>
              </w:rPr>
              <w:t>海事管理机构必须依法履行职责，加强对船舶、浮动设施、船员和通航安全环境的监督检查。发现内河交通安全隐患时，应当责令有关单位和个人立即消除或者限期消除；有关单位和个人不立即消除或者逾期不消除的，海事管理机构必须采取责令其临时停航、停止作业，禁止进港、离港等强制性措施。</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行政强制</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both"/>
              <w:rPr>
                <w:rFonts w:hint="eastAsia" w:ascii="宋体" w:hAnsi="宋体" w:eastAsia="宋体" w:cs="宋体"/>
                <w:b w:val="0"/>
                <w:bCs w:val="0"/>
                <w:kern w:val="2"/>
                <w:sz w:val="28"/>
                <w:szCs w:val="28"/>
                <w:vertAlign w:val="baseline"/>
                <w:lang w:val="en-US" w:eastAsia="zh-CN" w:bidi="ar-SA"/>
              </w:rPr>
            </w:pPr>
            <w:r>
              <w:rPr>
                <w:rFonts w:hint="eastAsia" w:ascii="仿宋" w:hAnsi="仿宋" w:eastAsia="仿宋" w:cs="仿宋"/>
                <w:b w:val="0"/>
                <w:bCs w:val="0"/>
                <w:sz w:val="24"/>
                <w:szCs w:val="24"/>
                <w:vertAlign w:val="baseline"/>
                <w:lang w:val="en-US" w:eastAsia="zh-CN"/>
              </w:rPr>
              <w:t>对道路运输市场进行监督检查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行政检查</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eastAsia="zh-CN"/>
              </w:rPr>
              <w:t>对港口安全生产情况的行政检查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行政检查</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eastAsia="zh-CN"/>
              </w:rPr>
              <w:t>对船舶、浮动设施、船员和通航安全环境的行政检查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行政检查</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eastAsia="zh-CN"/>
              </w:rPr>
              <w:t>对危险化学品安全生产情况的行政检查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行政检查</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eastAsia="zh-CN"/>
              </w:rPr>
              <w:t>对船员的监督检查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行政检查</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eastAsia="zh-CN"/>
              </w:rPr>
              <w:t>对内河交通密集区域、多发事故水域以及货物装卸、乘客上下比较集中的港口，对客渡船、滚装客船、高速客轮、旅游船和载运危险货物的船舶，海事管理机构必须加强安全巡查。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行政检查</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jc w:val="left"/>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交通主管部门、公路管理机构依法对有关公路的法律、法规执行情况进行监督检查。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行政检查</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检查、制止各种侵占、损坏公路、公路用地、公路附属设施及其他违反本法规定的行为。</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行政检查</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对水路运输辅助业实施监督检查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行政检查</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对有违反水上交通安全和防治船舶污染水域法律、行政法规行为船员的检查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行政检查</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18"/>
                <w:szCs w:val="18"/>
                <w:lang w:val="en-US" w:eastAsia="zh-CN" w:bidi="ar-SA"/>
              </w:rPr>
            </w:pPr>
            <w:r>
              <w:rPr>
                <w:rFonts w:hint="eastAsia" w:ascii="仿宋_GB2312" w:hAnsi="仿宋_GB2312" w:eastAsia="仿宋_GB2312" w:cs="仿宋_GB2312"/>
                <w:b w:val="0"/>
                <w:bCs w:val="0"/>
                <w:sz w:val="24"/>
                <w:szCs w:val="24"/>
                <w:vertAlign w:val="baseline"/>
                <w:lang w:val="en-US" w:eastAsia="zh-CN"/>
              </w:rPr>
              <w:t>在公路桥梁跨越的河道上下游各500米范围内依法进行疏浚作业的，应当符合公路桥梁安全要求，经公路管理机构确认安全方可作业。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行政确认</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18"/>
                <w:szCs w:val="18"/>
                <w:lang w:val="en-US" w:eastAsia="zh-CN" w:bidi="ar-SA"/>
              </w:rPr>
            </w:pPr>
            <w:r>
              <w:rPr>
                <w:rFonts w:hint="eastAsia" w:ascii="仿宋_GB2312" w:hAnsi="仿宋_GB2312" w:eastAsia="仿宋_GB2312" w:cs="仿宋_GB2312"/>
                <w:b w:val="0"/>
                <w:bCs w:val="0"/>
                <w:sz w:val="24"/>
                <w:szCs w:val="24"/>
                <w:vertAlign w:val="baseline"/>
                <w:lang w:val="en-US" w:eastAsia="zh-CN"/>
              </w:rPr>
              <w:t>农村公路建设项目验收。</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行政确认</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船舶登记（含所有权、变更、抵押权、注销、 光船租赁、废钢船）</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行政确认</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船舶名称核准</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行政确认</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辖区内封闭水域内河船员适任考试发证</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行政确认</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营运车辆道路运输证配发</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行政确认</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船舶最低安全配员证书核发</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行政确认</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出租汽车驾驶员从业资格注册</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行政确认</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船员培训合格证书签发</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行政确认</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船舶营运证配发</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行政确认</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船舶吨位复核</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行政确认</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仿宋_GB2312" w:hAnsi="宋体" w:eastAsia="仿宋_GB2312" w:cs="宋体"/>
                <w:kern w:val="0"/>
                <w:sz w:val="24"/>
                <w:szCs w:val="24"/>
                <w:lang w:eastAsia="zh-CN"/>
              </w:rPr>
              <w:t>航行警（通）告发布</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公共服务</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道路客运企业质量信誉考核（含3A）</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机动车驾驶员培训机构质量信誉考核</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机动车维修经营者质量信誉考核</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道路货物运输企业质量信誉考核</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道路货运车辆审验</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道路客运车辆审验</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航行通（警）告办理</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船舶设计图纸审核</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一、二级汽车客运站站级验收</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道路运输企业质量信誉考核中初评为 AAA 级运输</w:t>
            </w:r>
          </w:p>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企业的核定</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普通干线公路改造、大修、危桥改造计划的编制与申报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普通干线公路新改建项目工可报告、设计文件的编制与申报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普通干线公路大修、中修及大桥、特大桥危桥改造项目实施方案的编制与申报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普通干线公路中修计划的编制与申报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普通干线公路大修、大桥危桥改造项目设计文件的编制与申报</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除“跨省辖市的普通干线公路建设项目；使用中央预算内投资、中央专项建设基金、中央统还国外贷款 5 亿元及以上，或使用中央预算内投资、中央专项建设基金、统借自还国外贷款的总投资 50 亿元及以上的普通干线公路项目；普通干线公路跨黄河大桥建设项目”外的普通干线公路项目设计审批；非跨省辖市的内河水运项目设计审批</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航道养护工程的设计审查、交（竣）工验收</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公路、单独的桥梁和隧道建设项目交工验收备案</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交通工程建设项目招投标备案（高速公路、国省干线公路除外）</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公路工程质量监督手续办理</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41" w:hRule="atLeast"/>
        </w:trPr>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ind w:left="425" w:leftChars="0" w:hanging="425" w:firstLineChars="0"/>
              <w:jc w:val="left"/>
              <w:rPr>
                <w:rFonts w:hint="default" w:ascii="Courier New" w:hAnsi="Courier New" w:eastAsia="宋体" w:cs="宋体"/>
                <w:kern w:val="0"/>
                <w:sz w:val="32"/>
                <w:szCs w:val="32"/>
                <w:lang w:val="en-US" w:eastAsia="zh-CN"/>
              </w:rPr>
            </w:pPr>
          </w:p>
        </w:tc>
        <w:tc>
          <w:tcPr>
            <w:tcW w:w="46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城乡道路客运成品油价格补助申报审核</w:t>
            </w:r>
          </w:p>
        </w:tc>
        <w:tc>
          <w:tcPr>
            <w:tcW w:w="39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其他职权</w:t>
            </w:r>
          </w:p>
        </w:tc>
      </w:tr>
      <w:tr>
        <w:tblPrEx>
          <w:tblCellMar>
            <w:top w:w="0" w:type="dxa"/>
            <w:left w:w="108" w:type="dxa"/>
            <w:bottom w:w="0" w:type="dxa"/>
            <w:right w:w="108" w:type="dxa"/>
          </w:tblCellMar>
        </w:tblPrEx>
        <w:trPr>
          <w:trHeight w:val="690" w:hRule="atLeast"/>
        </w:trPr>
        <w:tc>
          <w:tcPr>
            <w:tcW w:w="982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（部门</w:t>
            </w:r>
            <w:r>
              <w:rPr>
                <w:rFonts w:ascii="黑体" w:hAnsi="黑体" w:eastAsia="黑体" w:cs="宋体"/>
                <w:kern w:val="0"/>
                <w:sz w:val="24"/>
                <w:szCs w:val="24"/>
              </w:rPr>
              <w:t>名称</w:t>
            </w:r>
            <w:r>
              <w:rPr>
                <w:rFonts w:hint="eastAsia" w:ascii="黑体" w:hAnsi="黑体" w:eastAsia="黑体" w:cs="宋体"/>
                <w:kern w:val="0"/>
                <w:sz w:val="24"/>
                <w:szCs w:val="24"/>
              </w:rPr>
              <w:t>）行政职权</w:t>
            </w:r>
            <w:r>
              <w:rPr>
                <w:rFonts w:ascii="黑体" w:hAnsi="黑体" w:eastAsia="黑体" w:cs="宋体"/>
                <w:kern w:val="0"/>
                <w:sz w:val="24"/>
                <w:szCs w:val="24"/>
              </w:rPr>
              <w:t>事项共</w:t>
            </w:r>
            <w:r>
              <w:rPr>
                <w:rFonts w:hint="eastAsia" w:ascii="黑体" w:hAnsi="黑体" w:eastAsia="黑体" w:cs="宋体"/>
                <w:kern w:val="0"/>
                <w:sz w:val="24"/>
                <w:szCs w:val="24"/>
                <w:lang w:val="en-US" w:eastAsia="zh-CN"/>
              </w:rPr>
              <w:t>248</w:t>
            </w:r>
            <w:r>
              <w:rPr>
                <w:rFonts w:hint="eastAsia" w:ascii="黑体" w:hAnsi="黑体" w:eastAsia="黑体" w:cs="宋体"/>
                <w:kern w:val="0"/>
                <w:sz w:val="24"/>
                <w:szCs w:val="24"/>
              </w:rPr>
              <w:t>项。</w:t>
            </w:r>
            <w:r>
              <w:rPr>
                <w:rFonts w:ascii="黑体" w:hAnsi="黑体" w:eastAsia="黑体" w:cs="宋体"/>
                <w:kern w:val="0"/>
                <w:sz w:val="24"/>
                <w:szCs w:val="24"/>
              </w:rPr>
              <w:t>其中</w:t>
            </w:r>
            <w:r>
              <w:rPr>
                <w:rFonts w:hint="eastAsia" w:ascii="黑体" w:hAnsi="黑体" w:eastAsia="黑体" w:cs="宋体"/>
                <w:kern w:val="0"/>
                <w:sz w:val="24"/>
                <w:szCs w:val="24"/>
              </w:rPr>
              <w:t>：行政</w:t>
            </w:r>
            <w:r>
              <w:rPr>
                <w:rFonts w:ascii="黑体" w:hAnsi="黑体" w:eastAsia="黑体" w:cs="宋体"/>
                <w:kern w:val="0"/>
                <w:sz w:val="24"/>
                <w:szCs w:val="24"/>
              </w:rPr>
              <w:t>许可</w:t>
            </w:r>
            <w:r>
              <w:rPr>
                <w:rFonts w:hint="eastAsia" w:ascii="黑体" w:hAnsi="黑体" w:eastAsia="黑体" w:cs="宋体"/>
                <w:kern w:val="0"/>
                <w:sz w:val="24"/>
                <w:szCs w:val="24"/>
                <w:lang w:val="en-US" w:eastAsia="zh-CN"/>
              </w:rPr>
              <w:t>66</w:t>
            </w:r>
            <w:r>
              <w:rPr>
                <w:rFonts w:hint="eastAsia" w:ascii="黑体" w:hAnsi="黑体" w:eastAsia="黑体" w:cs="宋体"/>
                <w:kern w:val="0"/>
                <w:sz w:val="24"/>
                <w:szCs w:val="24"/>
              </w:rPr>
              <w:t>项；</w:t>
            </w:r>
            <w:r>
              <w:rPr>
                <w:rFonts w:ascii="黑体" w:hAnsi="黑体" w:eastAsia="黑体" w:cs="宋体"/>
                <w:kern w:val="0"/>
                <w:sz w:val="24"/>
                <w:szCs w:val="24"/>
              </w:rPr>
              <w:t>行政处罚</w:t>
            </w:r>
            <w:r>
              <w:rPr>
                <w:rFonts w:hint="eastAsia" w:ascii="黑体" w:hAnsi="黑体" w:eastAsia="黑体" w:cs="宋体"/>
                <w:kern w:val="0"/>
                <w:sz w:val="24"/>
                <w:szCs w:val="24"/>
                <w:lang w:val="en-US" w:eastAsia="zh-CN"/>
              </w:rPr>
              <w:t>129</w:t>
            </w:r>
            <w:r>
              <w:rPr>
                <w:rFonts w:hint="eastAsia" w:ascii="黑体" w:hAnsi="黑体" w:eastAsia="黑体" w:cs="宋体"/>
                <w:kern w:val="0"/>
                <w:sz w:val="24"/>
                <w:szCs w:val="24"/>
              </w:rPr>
              <w:t>项</w:t>
            </w:r>
            <w:r>
              <w:rPr>
                <w:rFonts w:ascii="黑体" w:hAnsi="黑体" w:eastAsia="黑体" w:cs="宋体"/>
                <w:kern w:val="0"/>
                <w:sz w:val="24"/>
                <w:szCs w:val="24"/>
              </w:rPr>
              <w:t>、行政强制</w:t>
            </w:r>
            <w:r>
              <w:rPr>
                <w:rFonts w:hint="eastAsia" w:ascii="黑体" w:hAnsi="黑体" w:eastAsia="黑体" w:cs="宋体"/>
                <w:kern w:val="0"/>
                <w:sz w:val="24"/>
                <w:szCs w:val="24"/>
                <w:lang w:val="en-US" w:eastAsia="zh-CN"/>
              </w:rPr>
              <w:t>10</w:t>
            </w:r>
            <w:r>
              <w:rPr>
                <w:rFonts w:hint="eastAsia" w:ascii="黑体" w:hAnsi="黑体" w:eastAsia="黑体" w:cs="宋体"/>
                <w:kern w:val="0"/>
                <w:sz w:val="24"/>
                <w:szCs w:val="24"/>
              </w:rPr>
              <w:t>项</w:t>
            </w:r>
            <w:r>
              <w:rPr>
                <w:rFonts w:ascii="黑体" w:hAnsi="黑体" w:eastAsia="黑体" w:cs="宋体"/>
                <w:kern w:val="0"/>
                <w:sz w:val="24"/>
                <w:szCs w:val="24"/>
              </w:rPr>
              <w:t>、行政检查</w:t>
            </w:r>
            <w:r>
              <w:rPr>
                <w:rFonts w:hint="eastAsia" w:ascii="黑体" w:hAnsi="黑体" w:eastAsia="黑体" w:cs="宋体"/>
                <w:kern w:val="0"/>
                <w:sz w:val="24"/>
                <w:szCs w:val="24"/>
                <w:lang w:val="en-US" w:eastAsia="zh-CN"/>
              </w:rPr>
              <w:t>10</w:t>
            </w:r>
            <w:r>
              <w:rPr>
                <w:rFonts w:hint="eastAsia" w:ascii="黑体" w:hAnsi="黑体" w:eastAsia="黑体" w:cs="宋体"/>
                <w:kern w:val="0"/>
                <w:sz w:val="24"/>
                <w:szCs w:val="24"/>
              </w:rPr>
              <w:t>项</w:t>
            </w:r>
            <w:r>
              <w:rPr>
                <w:rFonts w:ascii="黑体" w:hAnsi="黑体" w:eastAsia="黑体" w:cs="宋体"/>
                <w:kern w:val="0"/>
                <w:sz w:val="24"/>
                <w:szCs w:val="24"/>
              </w:rPr>
              <w:t>、行政确认</w:t>
            </w:r>
            <w:r>
              <w:rPr>
                <w:rFonts w:hint="eastAsia" w:ascii="黑体" w:hAnsi="黑体" w:eastAsia="黑体" w:cs="宋体"/>
                <w:kern w:val="0"/>
                <w:sz w:val="24"/>
                <w:szCs w:val="24"/>
                <w:lang w:val="en-US" w:eastAsia="zh-CN"/>
              </w:rPr>
              <w:t>12</w:t>
            </w:r>
            <w:bookmarkStart w:id="0" w:name="_GoBack"/>
            <w:bookmarkEnd w:id="0"/>
            <w:r>
              <w:rPr>
                <w:rFonts w:hint="eastAsia" w:ascii="黑体" w:hAnsi="黑体" w:eastAsia="黑体" w:cs="宋体"/>
                <w:kern w:val="0"/>
                <w:sz w:val="24"/>
                <w:szCs w:val="24"/>
              </w:rPr>
              <w:t>项</w:t>
            </w:r>
            <w:r>
              <w:rPr>
                <w:rFonts w:ascii="黑体" w:hAnsi="黑体" w:eastAsia="黑体" w:cs="宋体"/>
                <w:kern w:val="0"/>
                <w:sz w:val="24"/>
                <w:szCs w:val="24"/>
              </w:rPr>
              <w:t>、其他职权</w:t>
            </w:r>
            <w:r>
              <w:rPr>
                <w:rFonts w:hint="eastAsia" w:ascii="黑体" w:hAnsi="黑体" w:eastAsia="黑体" w:cs="宋体"/>
                <w:kern w:val="0"/>
                <w:sz w:val="24"/>
                <w:szCs w:val="24"/>
                <w:lang w:val="en-US" w:eastAsia="zh-CN"/>
              </w:rPr>
              <w:t>21</w:t>
            </w:r>
            <w:r>
              <w:rPr>
                <w:rFonts w:hint="eastAsia" w:ascii="黑体" w:hAnsi="黑体" w:eastAsia="黑体" w:cs="宋体"/>
                <w:kern w:val="0"/>
                <w:sz w:val="24"/>
                <w:szCs w:val="24"/>
              </w:rPr>
              <w:t>项。</w:t>
            </w:r>
          </w:p>
        </w:tc>
      </w:tr>
      <w:tr>
        <w:tblPrEx>
          <w:tblCellMar>
            <w:top w:w="0" w:type="dxa"/>
            <w:left w:w="108" w:type="dxa"/>
            <w:bottom w:w="0" w:type="dxa"/>
            <w:right w:w="108" w:type="dxa"/>
          </w:tblCellMar>
        </w:tblPrEx>
        <w:trPr>
          <w:trHeight w:val="825" w:hRule="atLeast"/>
        </w:trPr>
        <w:tc>
          <w:tcPr>
            <w:tcW w:w="9820" w:type="dxa"/>
            <w:gridSpan w:val="3"/>
            <w:tcBorders>
              <w:top w:val="single" w:color="auto" w:sz="4" w:space="0"/>
              <w:left w:val="nil"/>
              <w:bottom w:val="nil"/>
              <w:right w:val="nil"/>
            </w:tcBorders>
            <w:shd w:val="clear" w:color="auto" w:fill="auto"/>
            <w:vAlign w:val="center"/>
          </w:tcPr>
          <w:p>
            <w:pPr>
              <w:widowControl/>
              <w:spacing w:line="400" w:lineRule="exact"/>
              <w:ind w:left="840" w:hanging="840" w:hangingChars="300"/>
              <w:jc w:val="left"/>
              <w:rPr>
                <w:rFonts w:ascii="Courier New" w:hAnsi="Courier New" w:eastAsia="宋体" w:cs="宋体"/>
                <w:kern w:val="0"/>
                <w:sz w:val="28"/>
                <w:szCs w:val="28"/>
              </w:rPr>
            </w:pPr>
            <w:r>
              <w:rPr>
                <w:rFonts w:hint="eastAsia" w:ascii="Courier New" w:hAnsi="Courier New" w:eastAsia="宋体" w:cs="宋体"/>
                <w:kern w:val="0"/>
                <w:sz w:val="28"/>
                <w:szCs w:val="28"/>
              </w:rPr>
              <w:t>说明</w:t>
            </w:r>
            <w:r>
              <w:rPr>
                <w:rFonts w:ascii="Courier New" w:hAnsi="Courier New" w:eastAsia="宋体" w:cs="宋体"/>
                <w:kern w:val="0"/>
                <w:sz w:val="28"/>
                <w:szCs w:val="28"/>
              </w:rPr>
              <w:t>：各部门按照行政许可、行政处罚、行政强制、行政征收、行政给付、</w:t>
            </w:r>
          </w:p>
          <w:p>
            <w:pPr>
              <w:widowControl/>
              <w:spacing w:line="400" w:lineRule="exact"/>
              <w:ind w:left="838" w:leftChars="399"/>
              <w:jc w:val="left"/>
              <w:rPr>
                <w:rFonts w:ascii="Courier New" w:hAnsi="Courier New" w:eastAsia="宋体" w:cs="宋体"/>
                <w:kern w:val="0"/>
                <w:sz w:val="28"/>
                <w:szCs w:val="28"/>
              </w:rPr>
            </w:pPr>
            <w:r>
              <w:rPr>
                <w:rFonts w:ascii="Courier New" w:hAnsi="Courier New" w:eastAsia="宋体" w:cs="宋体"/>
                <w:kern w:val="0"/>
                <w:sz w:val="28"/>
                <w:szCs w:val="28"/>
              </w:rPr>
              <w:t>行政检查、行政确认、其他职权8个类别，按顺序分类汇总。</w:t>
            </w:r>
          </w:p>
        </w:tc>
      </w:tr>
    </w:tbl>
    <w:p/>
    <w:sectPr>
      <w:pgSz w:w="11906" w:h="16838"/>
      <w:pgMar w:top="1701" w:right="1134" w:bottom="1701"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创艺简标宋">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AC727A"/>
    <w:multiLevelType w:val="singleLevel"/>
    <w:tmpl w:val="3CAC727A"/>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wZjNhOWEzMDkzNjJhOGM0MjE0MGViYTI4MjhlMDAifQ=="/>
  </w:docVars>
  <w:rsids>
    <w:rsidRoot w:val="00336FD3"/>
    <w:rsid w:val="00023BAC"/>
    <w:rsid w:val="00336FD3"/>
    <w:rsid w:val="005914A1"/>
    <w:rsid w:val="00924494"/>
    <w:rsid w:val="009A55A4"/>
    <w:rsid w:val="009E0D04"/>
    <w:rsid w:val="00A73FF2"/>
    <w:rsid w:val="02C17FC3"/>
    <w:rsid w:val="04D31337"/>
    <w:rsid w:val="05145BD8"/>
    <w:rsid w:val="06021ED4"/>
    <w:rsid w:val="068C5C42"/>
    <w:rsid w:val="07681BB3"/>
    <w:rsid w:val="09C851E3"/>
    <w:rsid w:val="0FF30ADF"/>
    <w:rsid w:val="15E2762C"/>
    <w:rsid w:val="16B03286"/>
    <w:rsid w:val="1867206B"/>
    <w:rsid w:val="18AF6B31"/>
    <w:rsid w:val="1AE16104"/>
    <w:rsid w:val="214C62A1"/>
    <w:rsid w:val="226A2E83"/>
    <w:rsid w:val="257007B0"/>
    <w:rsid w:val="2D34086B"/>
    <w:rsid w:val="2D4F15F3"/>
    <w:rsid w:val="2E552C39"/>
    <w:rsid w:val="2FE7130D"/>
    <w:rsid w:val="30CD4415"/>
    <w:rsid w:val="32C24888"/>
    <w:rsid w:val="342310E4"/>
    <w:rsid w:val="378254C0"/>
    <w:rsid w:val="39E430C3"/>
    <w:rsid w:val="3DDF7E2A"/>
    <w:rsid w:val="3E2E0DB1"/>
    <w:rsid w:val="3EEA2F2A"/>
    <w:rsid w:val="4157061F"/>
    <w:rsid w:val="42344779"/>
    <w:rsid w:val="47833F1C"/>
    <w:rsid w:val="48822425"/>
    <w:rsid w:val="49BC3715"/>
    <w:rsid w:val="4FED33C9"/>
    <w:rsid w:val="56CA28DD"/>
    <w:rsid w:val="59592D2E"/>
    <w:rsid w:val="59D2663D"/>
    <w:rsid w:val="5E39312E"/>
    <w:rsid w:val="6F9E7295"/>
    <w:rsid w:val="71A60683"/>
    <w:rsid w:val="72AE5A41"/>
    <w:rsid w:val="75C612F4"/>
    <w:rsid w:val="76796366"/>
    <w:rsid w:val="78607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Company>
  <Pages>15</Pages>
  <Words>8273</Words>
  <Characters>8290</Characters>
  <Lines>1</Lines>
  <Paragraphs>1</Paragraphs>
  <TotalTime>2</TotalTime>
  <ScaleCrop>false</ScaleCrop>
  <LinksUpToDate>false</LinksUpToDate>
  <CharactersWithSpaces>8380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2019-09-11T00:15:00Z</dcterms:created>
  <dc:creator>User</dc:creator>
  <cp:lastModifiedBy>泽</cp:lastModifiedBy>
  <cp:lastPrinted>2019-11-04T02:20:00Z</cp:lastPrinted>
  <dcterms:modified xsi:type="dcterms:W3CDTF">2023-01-20T00:25:59Z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6D23404A05E34620A3E03EF698670963</vt:lpwstr>
  </property>
</Properties>
</file>