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20" w:type="dxa"/>
        <w:tblInd w:w="0" w:type="dxa"/>
        <w:tblLayout w:type="fixed"/>
        <w:tblCellMar>
          <w:top w:w="0" w:type="dxa"/>
          <w:left w:w="108" w:type="dxa"/>
          <w:bottom w:w="0" w:type="dxa"/>
          <w:right w:w="108" w:type="dxa"/>
        </w:tblCellMar>
      </w:tblPr>
      <w:tblGrid>
        <w:gridCol w:w="1252"/>
        <w:gridCol w:w="4658"/>
        <w:gridCol w:w="3910"/>
      </w:tblGrid>
      <w:tr>
        <w:tblPrEx>
          <w:tblCellMar>
            <w:top w:w="0" w:type="dxa"/>
            <w:left w:w="108" w:type="dxa"/>
            <w:bottom w:w="0" w:type="dxa"/>
            <w:right w:w="108" w:type="dxa"/>
          </w:tblCellMar>
        </w:tblPrEx>
        <w:trPr>
          <w:trHeight w:val="624" w:hRule="atLeast"/>
        </w:trPr>
        <w:tc>
          <w:tcPr>
            <w:tcW w:w="9820" w:type="dxa"/>
            <w:gridSpan w:val="3"/>
            <w:vMerge w:val="restart"/>
            <w:tcBorders>
              <w:top w:val="nil"/>
              <w:left w:val="nil"/>
              <w:bottom w:val="nil"/>
              <w:right w:val="nil"/>
            </w:tcBorders>
            <w:shd w:val="clear" w:color="auto" w:fill="auto"/>
            <w:noWrap/>
            <w:vAlign w:val="center"/>
          </w:tcPr>
          <w:p>
            <w:pPr>
              <w:widowControl/>
              <w:jc w:val="left"/>
              <w:rPr>
                <w:rFonts w:ascii="宋体" w:hAnsi="宋体" w:eastAsia="宋体" w:cs="宋体"/>
                <w:kern w:val="0"/>
                <w:sz w:val="30"/>
                <w:szCs w:val="30"/>
              </w:rPr>
            </w:pPr>
            <w:r>
              <w:rPr>
                <w:rFonts w:hint="eastAsia" w:ascii="黑体" w:hAnsi="黑体" w:eastAsia="黑体" w:cs="黑体"/>
                <w:kern w:val="0"/>
                <w:sz w:val="32"/>
                <w:szCs w:val="32"/>
              </w:rPr>
              <w:t>附件2</w:t>
            </w:r>
          </w:p>
        </w:tc>
      </w:tr>
      <w:tr>
        <w:tblPrEx>
          <w:tblCellMar>
            <w:top w:w="0" w:type="dxa"/>
            <w:left w:w="108" w:type="dxa"/>
            <w:bottom w:w="0" w:type="dxa"/>
            <w:right w:w="108" w:type="dxa"/>
          </w:tblCellMar>
        </w:tblPrEx>
        <w:trPr>
          <w:trHeight w:val="312" w:hRule="atLeast"/>
        </w:trPr>
        <w:tc>
          <w:tcPr>
            <w:tcW w:w="9820" w:type="dxa"/>
            <w:gridSpan w:val="3"/>
            <w:vMerge w:val="continue"/>
            <w:tcBorders>
              <w:top w:val="nil"/>
              <w:left w:val="nil"/>
              <w:bottom w:val="nil"/>
              <w:right w:val="nil"/>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75" w:hRule="atLeast"/>
        </w:trPr>
        <w:tc>
          <w:tcPr>
            <w:tcW w:w="9820" w:type="dxa"/>
            <w:gridSpan w:val="3"/>
            <w:tcBorders>
              <w:top w:val="nil"/>
              <w:left w:val="nil"/>
              <w:bottom w:val="nil"/>
              <w:right w:val="nil"/>
            </w:tcBorders>
            <w:shd w:val="clear" w:color="auto" w:fill="auto"/>
            <w:noWrap/>
            <w:vAlign w:val="center"/>
          </w:tcPr>
          <w:p>
            <w:pPr>
              <w:widowControl/>
              <w:jc w:val="center"/>
              <w:rPr>
                <w:rFonts w:ascii="创艺简标宋" w:hAnsi="宋体" w:eastAsia="创艺简标宋" w:cs="宋体"/>
                <w:kern w:val="0"/>
                <w:sz w:val="44"/>
                <w:szCs w:val="44"/>
              </w:rPr>
            </w:pPr>
            <w:r>
              <w:rPr>
                <w:rFonts w:hint="eastAsia" w:ascii="方正小标宋简体" w:hAnsi="方正小标宋简体" w:eastAsia="方正小标宋简体" w:cs="方正小标宋简体"/>
                <w:kern w:val="0"/>
                <w:sz w:val="44"/>
                <w:szCs w:val="44"/>
              </w:rPr>
              <w:t>部门行政职权事项目录汇总表</w:t>
            </w:r>
          </w:p>
        </w:tc>
      </w:tr>
      <w:tr>
        <w:tblPrEx>
          <w:tblCellMar>
            <w:top w:w="0" w:type="dxa"/>
            <w:left w:w="108" w:type="dxa"/>
            <w:bottom w:w="0" w:type="dxa"/>
            <w:right w:w="108" w:type="dxa"/>
          </w:tblCellMar>
        </w:tblPrEx>
        <w:trPr>
          <w:trHeight w:val="540" w:hRule="atLeast"/>
        </w:trPr>
        <w:tc>
          <w:tcPr>
            <w:tcW w:w="5910" w:type="dxa"/>
            <w:gridSpan w:val="2"/>
            <w:tcBorders>
              <w:top w:val="nil"/>
              <w:left w:val="nil"/>
              <w:bottom w:val="nil"/>
              <w:right w:val="nil"/>
            </w:tcBorders>
            <w:shd w:val="clear" w:color="auto" w:fill="auto"/>
            <w:noWrap/>
            <w:vAlign w:val="center"/>
          </w:tcPr>
          <w:p>
            <w:pPr>
              <w:widowControl/>
              <w:jc w:val="left"/>
              <w:rPr>
                <w:rFonts w:ascii="Courier New" w:hAnsi="Courier New" w:eastAsia="宋体" w:cs="宋体"/>
                <w:kern w:val="0"/>
                <w:sz w:val="32"/>
                <w:szCs w:val="32"/>
              </w:rPr>
            </w:pPr>
            <w:r>
              <w:rPr>
                <w:rFonts w:ascii="Courier New" w:hAnsi="Courier New" w:eastAsia="宋体" w:cs="宋体"/>
                <w:kern w:val="0"/>
                <w:sz w:val="32"/>
                <w:szCs w:val="32"/>
              </w:rPr>
              <w:t xml:space="preserve">  部门名称：     （公章）</w:t>
            </w:r>
          </w:p>
        </w:tc>
        <w:tc>
          <w:tcPr>
            <w:tcW w:w="391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trHeight w:val="855" w:hRule="atLeast"/>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ascii="Courier New" w:hAnsi="Courier New" w:eastAsia="宋体" w:cs="宋体"/>
                <w:b/>
                <w:bCs/>
                <w:kern w:val="0"/>
                <w:sz w:val="32"/>
                <w:szCs w:val="32"/>
              </w:rPr>
              <w:t>序号</w:t>
            </w:r>
          </w:p>
        </w:tc>
        <w:tc>
          <w:tcPr>
            <w:tcW w:w="4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hint="eastAsia" w:ascii="Courier New" w:hAnsi="Courier New" w:eastAsia="宋体" w:cs="宋体"/>
                <w:b/>
                <w:bCs/>
                <w:kern w:val="0"/>
                <w:sz w:val="32"/>
                <w:szCs w:val="32"/>
              </w:rPr>
              <w:t>事项名称</w:t>
            </w:r>
          </w:p>
        </w:tc>
        <w:tc>
          <w:tcPr>
            <w:tcW w:w="39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Courier New" w:hAnsi="Courier New" w:eastAsia="宋体" w:cs="宋体"/>
                <w:b/>
                <w:bCs/>
                <w:kern w:val="0"/>
                <w:sz w:val="32"/>
                <w:szCs w:val="32"/>
              </w:rPr>
            </w:pPr>
            <w:r>
              <w:rPr>
                <w:rFonts w:hint="eastAsia" w:ascii="Courier New" w:hAnsi="Courier New" w:eastAsia="宋体" w:cs="宋体"/>
                <w:b/>
                <w:bCs/>
                <w:kern w:val="0"/>
                <w:sz w:val="32"/>
                <w:szCs w:val="32"/>
              </w:rPr>
              <w:t>职权类别</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道路旅客运输经营许可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道路客运班线经营许可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道路货运经营许可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机动车维修经营备案</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机动车驾驶员培训经营许可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出租汽车经营许可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6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ascii="Courier New" w:hAnsi="Courier New" w:eastAsia="宋体" w:cs="宋体"/>
                <w:kern w:val="0"/>
                <w:sz w:val="32"/>
                <w:szCs w:val="32"/>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乡道和村道建设项目的实行施工许可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hint="eastAsia"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因工程建设，确需占用、挖掘农村公路或者使农村公路改线的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center"/>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跨越、穿越农村公路修建桥梁、渡槽或者架设、埋设管线等设施的，以及在公路用地范围内架设、埋设管线、电缆等设施的。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在建筑控制区内架设、埋设管线、电缆等设施的。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更新、砍伐农村公路用地范围内的绿化林木。</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铁轮车、履带车和其他可能损害公路路面的机具或者车辆不得擅自在公路上行驶。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在农村公路及其用地范围内设置公路标志以外的其他标志。</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禁止超限车辆在农村上行驶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渔业船舶及船用产品检验</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船舶进入或穿越禁航区审批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水上水下活动许可（通航水域岸线安全使用）</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水上水下活动许可（内河载运或拖带超限物体）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水上水下活动许可（勘探、采掘、爆破）</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水上水下活动许可（航道建设，航道、码头前沿水域疏浚）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水上水下活动许可（构筑、设置、维修、拆除水上水下构筑物或者设施）</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水上水下活动许可（架设桥梁索道）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both"/>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水上水下活动许可（设置系船浮筒、浮趸、缆桩等设施）</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水上水下活动许可（大型群众性活动、体育比赛）</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水上水下活动许可（铺设、检修、拆除水上水下电缆或者管道）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内河通航水域载运或拖带超重、超长、超高、超宽、半潜物体许可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建设港口设施使用非深水岸线审批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港口经营许可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港口采掘、爆破施工作业许可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新建、改建、扩建从事港口危险货物作业的建设项目安全条件审查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港口危险货物作业的建设项目安全设施设计审查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90"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国省道上中桥及以下危桥改造、县道上中桥及以下改造实施方案及施工图设计审批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重要农村公路项目施工图设计审批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经营性道路客货运输驾驶员从业资格考试、证件发放和管理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道路危险货物运输驾驶员从业资格考试、证件发放和管理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道路运输从业人员从业资格考试、证件发放和管理（不含危险货物运输）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市域内水路运输审批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水路运输企业设立及经营跨省辖市水路运输审批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水运工程专业丙级监理资质许可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农村公路、危桥改造计划的编制与申报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水运建设项目计划的编制与申报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客货运场站建设项目计划的编制与申报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客货运场站建设项目申请报告、设计文件的编制与申报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农村公路危桥（大桥及以上）改造项目实施方案的编制与申报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因修建铁路、机场、供电、水利、通信等建设工程需要占用、挖掘公路用地许可（高速公路、国省干线公路除外）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在公路用地范围内架设、埋设管道、电缆等设施许可（高速公路、国省干线公路除外）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在公路上增设或者改造平面交叉道口施工许可</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在公路建筑控制区内埋设管道、电缆等设施许</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可（高速公路、国省干线公路除外）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在公路用地范围内设置非公路标志（高速公</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在公路周边一定范围内因抢险、防汛需要修筑堤坝、压缩或者拓宽河床行为的受理与申报（高速公路、国省干线公路除外）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省际道路旅客运输经营许可的受理与审批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市际道路旅客运输经营许可的受理与审批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航道养护计划的编制与申报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水运建设项目工可报告、设计文件的编制与</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专用航标的设置、撤除、位移和其他状况改变审批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港口内进行危险货物的装卸、过驳作业许可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新增客船、危险品船投入运营审批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船舶国籍证书核发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经营国内船舶管理业务审批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危险货物道路运输从业人员资格许可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道路旅客运输驾驶员资格证核发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高速客船操作安全证书核发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道路普通货物运输驾驶员资格证核发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船员适任证书核发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通航建筑物运行方案审批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　</w:t>
            </w:r>
            <w:r>
              <w:rPr>
                <w:rFonts w:hint="eastAsia" w:ascii="仿宋" w:hAnsi="仿宋" w:eastAsia="仿宋" w:cs="仿宋"/>
                <w:kern w:val="0"/>
                <w:sz w:val="24"/>
                <w:szCs w:val="24"/>
                <w:lang w:eastAsia="zh-CN"/>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县际道路旅客运输经营许可</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行政许可</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擅自占用、挖掘公路，未经同意或按照公路工程技术标准修建桥梁、渡槽或者架设、埋设管线、电缆等设施；铁轮车、履带车和其他可能损害路面的机具擅自在公路上行驶；擅自超限行驶；损坏移动、涂改公路附属设施或者损坏、挪用公路建筑控制区的标桩、界桩；从事危及公路安全作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造成公路路面损坏、污染或者影响公路畅通的，或者将公路作为试车场地的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造成公路路面损坏、未报告的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在公路用地范围内设置非公路标志</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擅自在公路上增设平面交叉道口的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 xml:space="preserve">在公路建筑控制区内修建建筑物、地面构筑物或者擅自埋设管线、电缆等设施的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利用公路桥梁进行牵拉、吊装等危及公路桥梁安全的施工作业，利用公路桥梁（含桥下空间），公路隧道，涵洞堆放物品，搭建设施辅高压电线和输送易燃、易爆或者其他有毒有害气体、液体的管道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涉路工程设施影响公路完好、安全和畅通的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未经批准更新采伐护路林</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在公路上行驶的车辆，车货总体外廓尺寸、轴荷或者总质量超过公路、公路桥梁、公路隧道、汽车渡船限定标准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租借、转让超限运输车辆通行证</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keepNext w:val="0"/>
              <w:keepLines w:val="0"/>
              <w:pageBreakBefore w:val="0"/>
              <w:kinsoku/>
              <w:wordWrap/>
              <w:overflowPunct/>
              <w:topLinePunct w:val="0"/>
              <w:autoSpaceDE/>
              <w:autoSpaceDN/>
              <w:bidi w:val="0"/>
              <w:adjustRightInd/>
              <w:snapToGrid/>
              <w:spacing w:before="157" w:beforeLines="50"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rPr>
              <w:t>使用伪造、变造的超限运输车辆通行证</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lang w:val="en-US" w:eastAsia="zh-CN"/>
              </w:rPr>
              <w:t>采取故意堵塞固定超限检测站点通行车道、强行通过固定超限检测站点等方式扰乱超限检测秩序；采取短途驳载等方式逃避超限检测</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lang w:val="en-US" w:eastAsia="zh-CN"/>
              </w:rPr>
              <w:t>车辆装载物触地拖行、掉落、遗洒或者飘散，造成公路路面损坏、污染</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kern w:val="0"/>
                <w:sz w:val="24"/>
                <w:szCs w:val="24"/>
                <w:lang w:val="en-US" w:eastAsia="zh-CN"/>
              </w:rPr>
              <w:t>公路养护作业单位未按照国务院交通运输主管部门规定的技术规范和操作规程进行公路养护作业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未取得道路运输经营许可，擅自从事道路运输经营的处罚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不符合规定条件的人员驾驶道路运输经营车辆的处罚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客运经营者、货运经营者、道路运输相关业务经营者非法转让、出租道路运输许可证件的处罚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客运经营者、货运经营者不按规定携带车辆营运证的处罚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客运经营者不按批准的客运站点停靠或者不按规定的线路、公布的班次行驶的处罚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客运经营者、货运经营者强行招揽旅客、货物的处罚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客运经营者  在旅客运输途中擅自变更运输车辆或者将旅客移交他人运输的处罚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货运经营者没有采取必要措施防止货物脱落、扬撒等的处罚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客货运经营者不按规定维护和检测运输车辆的处罚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客货运经营者擅自改装已取得营运证的车辆的处罚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未取得道路货物运输经营许可，擅自从事道路货物运输经营的处罚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使用失效、伪造、变造、被注销等无效的道路运输经营许可证件从事道路货物运输经营的处罚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取得道路货物运输经营许可的道路货物运输经营者使用无道路运输证的车辆参加货物运输的处罚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未取得道路危险货物运输许可擅自从事道路危险货物运输的处罚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使用失效、伪造、变造、被注销等无效道路危险货物运输许可证件从事道路危险货物运输处罚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超越许可事项，从事道路危险货物运输的处罚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非经营性道路危险货物运输单位从事道路危险货物运输经营的处罚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道路危险货物运输企业或单位非法转让、出租道路危险货物运输许可证件的处罚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道路危险货物运输企业或单位未按规定维护和检测专用车辆的处罚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从事道路危险化学品运输的驾驶人员、押运人员、装卸管理人员未取得从业资格证的处罚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未根据危险化学品的危险特性采取相应的安全防护措施，或者未配备必要的防护用品和应急救援器材的处罚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运输危险化学品需要抑制剂或者稳定剂，托运人未添加或者未将有关情况告知承运人的处罚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道路危险货物运输企业擅自改装已取得《道路运输证》的专用车辆及罐式专用车辆罐体的处罚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未取得道路客运经营许可，擅自从事道路客运经营的处罚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未取得道路客运班线经营许可，擅自从事班车客运经营的处罚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使用失效、伪造、变造、被注销等无效的道路客运许可证件从事道路客运经营的处罚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超越许可事项，从事道路客运经营的处罚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取得客运经营许可的客运经营者使用无《道路运输证》的车辆参加客运经营的处罚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道路运输从业人员未取得相应从业资格证件，驾驶道路客货运输车辆的处罚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使用失效、伪造、变造的从业资格证件，驾驶道路客货运输车辆的处罚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超越从业资格证件核定范围，驾驶道路客货运输车辆的处罚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违反包车管理有关规定的。1、客运包车未持有效的包车客运包车牌进行经营的处罚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 xml:space="preserve">违反包车管理有关规定的。2、不按照包车客运标志牌载明的事项运行的处罚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违反包车管理有关规定的。3、线路两端均不在车籍所在地的处罚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违反包车管理有关规定的。4、按班车模式定点定线运营的处罚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违反包车管理有关规定的。5、招揽包车合同以外的旅客乘车的处罚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不按规定投保承运人责任险的。1、未为旅客投保承运人责任险的处罚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不按规定投保承运人责任险的。2、未按最低投保限额投保的处罚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不按规定投保承运人责任险的。3、投保的承运人责任险已过期，未继续投保的处罚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未按规定悬挂或者张贴客运线路标志牌和里程票价表的处罚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客运包车经营者其线路一端不在车籍所在地或者招揽包车合同外旅客乘车的处罚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运输有毒、腐蚀、放射性危险货物的车辆和运输危险货物的罐式专用车辆运输普通货物的处罚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货运源头单位为无牌无证或者证照不全的货运车辆装（配）货物的处罚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货运源头单位为货运车辆超标准装载货物并放行的处罚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委托未依法取得危险货物道路运输许可的企业承运危险化学品的处罚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在托运的普通货物中夹带危险化学品，或者将危险化学品谎报或者匿报为普通货物托运的处罚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1年内违法超限运输超过3次的货运车辆处罚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指使、强令车辆驾驶人超限运输货物处罚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1年内违法超限运输超过3次的货运车辆驾驶人处罚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道路运输企业1年内违法超限运输的货运车辆超过本单位货运车辆总数10%的处罚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货运源头单位未安装合格的称量和计量设备的处罚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货运源头单位未建立货运车辆驾驶和放行岗位职责及责任追究制度的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货运源头单位货物装运前未对货运车辆及驾驶员的车辆营运证和从业资格证进行查验登记的处罚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widowControl/>
              <w:numPr>
                <w:ilvl w:val="0"/>
                <w:numId w:val="0"/>
              </w:numPr>
              <w:ind w:left="0" w:leftChars="0" w:firstLine="0" w:firstLineChars="0"/>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货运源头单位为货运车辆提供虚假装载证明的处罚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left"/>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未经许可擅自从事道路运输站（场）经营、机动车维修经营、机动车驾驶员培训的处罚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客运经营者、危险货物运输经营者未按规定投保乘运人责任险的处罚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客运经营者未报告原许可机关，擅自终止客运经营的处罚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道路运输站（场）经营者允许无证经营的车辆从事经营活动以及超载车辆、未经安全检查的车辆出站或者无正当理由拒绝道路运输车辆进站从事经营活动的处罚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道路运输站（场）经营者擅自改变道路运输站（场）的用途和服务功能，或者不公布运输线路、起止经停站点、运输班次、始发时间、票价的处罚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机动车维修经营者使用假冒伪劣配件维修机动车，承修已报废的机动车或者擅自改装机动车的处罚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机动车维修经营者签发虚假的机动车维修合格证的处罚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机动车驾驶员培训机构不严格按照规定进行培训或者在培训结业证书发放时弄虚作假的处罚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道路货物运输经营者、货运站经营者不具备开业要求的有关安全条件、存在重大运输安全隐患的处罚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道路运输经营者未取得货运站经营许可，擅自从事货运站经营的处罚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使用失效、伪造、变造、被注销等无效的道路运输经营许可证件从事货运站经营的处罚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道路运输经营者超越许可的事项，从事货运站经营的处罚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机动车综合性能检测机构不按国家有关技术规范进行检测、未经检测出具检测结果或者不如实出具检测结果的处罚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托运人不向承运人说明所托运的危险化学品的种类、数量、危害特性以及发生危险情况的应急处置措施，或者未按照国家有关规定对所托运的危险化学品妥善包装并在外包装上设置相应标志的处罚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道路危险货物运输企业或者单位未配备专职安全管理人员的处罚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未取得机动车驾驶员培训许可证件，非法从事机动车驾驶员培训业务的处罚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使用无效、伪造、变造、被注销的机动车驾驶员培训许可证件，非法从事机动车驾驶员培训业务的处罚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top"/>
          </w:tcPr>
          <w:p>
            <w:pPr>
              <w:jc w:val="both"/>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超越许可事项，非法从事机动车驾驶员培训业务的处罚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机动车驾驶员培训机构非法转让、出租机动车驾驶员培训许可证件的处罚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机动车驾驶员培训机构未按照全国统一的教学大纲进行培训的处罚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机动车驾驶员培训机构未向培训结业的人员颁发《结业证书》的处罚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机动车驾驶员培训机构向培训未结业的人员颁发《结业证书》的处罚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机动车驾驶员培训机构向未参加培训的人员颁发《结业证书》的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机动车驾驶员培训机构使用无效、伪造、变造《结业证书》的处罚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机动车驾驶员培训机构租用其他机动车驾驶员培训机构《结业证书》的处罚　</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机动车维修、机动车驾驶员培训、机动车综合性能检测经营者未按规定公布服务内容、费目费率的处罚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二级以上道路旅客运输站未配置使用行包安全检查设备的处罚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从事道路货运代理、联运服务的经营者将受理的运输货物交由不具有经营资格的承运人承运的处罚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从事机动车驾驶员培训的教练车辆未安装使用学时记录仪的处罚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机动车维修、机动车驾驶员培训、机动车综合性能检测经营者超出核定的许可范围经营的处罚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擅自暂停、终止全部或者部分出租汽车经营的。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出租或者擅自转让出租汽车车辆经营权的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出租汽车驾驶员转包经营未及时纠正的。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不按照规定保证车辆技术状况良好的。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未向出租汽车驾驶员公开收费项目、收费标准的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不按照规定配置出租汽车相关设备的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不按照规定建立并落实投诉举报制度的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拒载、议价、途中甩客或者有意绕道行驶的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未经乘客同意搭载其他乘客的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不按照规定使用计价器、违规收费的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不按照规定出具相应车费票据的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不按照规定使用出租汽车相关设备的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接受出租汽车电召任务后未履行约定的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不按照规定使用文明用语，车容车貌不符合要求的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在机场、火车站、汽车客运站、港口、公共交通枢纽等客流集散地不服从调度私自揽客的。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转让、倒卖、伪造出租汽车相关票据的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驾驶预约出租汽车巡游揽客的</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对未经许可擅自经营或者超越许可范围经营水路运输业务行为的行政处罚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对船舶进出港报告的行政处罚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对水路运输经营者使用未取得船舶营运证件的船舶从事水路运输行为的行政处罚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对未经主管部门同意擅自设置专用航标行为的行政处罚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对未按主管部门意见设置必要的航标行为的行政处罚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对在通航水域上建设桥梁等建筑物未按照规定设置航标等设施行为的行政处罚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对从事内河船舶船员服务业务备案的行政处罚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对从事水路运输经营的船舶未随船携带船舶营运证件行为的行政处罚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对水路运输经营者使用未取得船舶营运证件的船舶从事水路运输行为的行政处罚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对实施危害航标、危害航标辅助设施或者影响航标工作效能行为的行政处罚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对危害航道通通航安全行为的行政处罚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对渡口船舶未标明识别标志、载客定额、安全注意事项的处罚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对伪造、变造、买卖、转借、冒用船舶检验证书、船舶登记证书、船员适任证书或者其他适任证件的处罚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行政处罚</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在公路建筑控制区内修建建筑物、地面构筑物或者擅自埋设管线、电缆等设施。在公路建筑控制区外修建的建筑物、地面构筑物以及其他设施遮挡公路标志或者妨碍安全视距</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经批准进行超限运输的车辆，未按照指定时间、路线和速度行驶。采取故意堵塞固定超限检测站点通行车道、强行通过固定超限检测站点等方式扰乱超限检测秩序；采取短途驳载等方式逃避超限检测。造成公路、公路附属设施损坏，拒不接受公路管理机构现场调查处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暂扣车辆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暂扣证件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0"/>
                <w:sz w:val="21"/>
                <w:szCs w:val="21"/>
              </w:rPr>
              <w:t>擅自占用、挖掘公路，未经同意或按照公路工程技术标准修建桥梁、渡槽或者架设、埋设管线、电缆等设施；铁轮车、履带车和其他可能损害路面的机具擅自在公路上行驶；擅自超限行驶；损坏移动、涂改公路附属设施或者损坏、挪用公路建筑控制区的标桩、界桩；从事危及公路安全作业的处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bidi="ar-SA"/>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船舶、浮动设施未持有合格的检验证书、登记证书或者船舶未持有必要的航行资料，擅自航行或者作业的，由海事管理机构责令停止航行或者作业；拒不停止的，暂扣船舶、浮动设施；情节严重的，予以没收。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对违反航道通航条件影响评价的规定建成的项目导致航道通航条件严重下降的，逾期未采取补救措施或者拆除等行为的行政强制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对未经依法批准在港口内进行采掘、爆破等活动的，向港口水域倾倒泥土、砂石行为的行政强制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未经批准擅自设置或者撤销渡口的，由渡口所在地县级人民政府指定的部门责令限期改正；逾期不改正的，予以强制拆除或者恢复，因强制拆除或者恢复发生的费用分别由设置人、撤销人承担。</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6"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行政强制</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rPr>
                <w:rFonts w:hint="eastAsia" w:ascii="宋体" w:hAnsi="宋体" w:eastAsia="宋体" w:cs="宋体"/>
                <w:b w:val="0"/>
                <w:bCs w:val="0"/>
                <w:kern w:val="2"/>
                <w:sz w:val="28"/>
                <w:szCs w:val="28"/>
                <w:vertAlign w:val="baseline"/>
                <w:lang w:val="en-US" w:eastAsia="zh-CN" w:bidi="ar-SA"/>
              </w:rPr>
            </w:pPr>
            <w:r>
              <w:rPr>
                <w:rFonts w:hint="eastAsia" w:ascii="仿宋" w:hAnsi="仿宋" w:eastAsia="仿宋" w:cs="仿宋"/>
                <w:b w:val="0"/>
                <w:bCs w:val="0"/>
                <w:sz w:val="24"/>
                <w:szCs w:val="24"/>
                <w:vertAlign w:val="baseline"/>
                <w:lang w:val="en-US" w:eastAsia="zh-CN"/>
              </w:rPr>
              <w:t>对道路运输市场进行监督检查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对港口安全生产情况的行政检查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对船舶、浮动设施、船员和通航安全环境的行政检查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对危险化学品安全生产情况的行政检查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对船员的监督检查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eastAsia="zh-CN"/>
              </w:rPr>
              <w:t>对内河交通密集区域、多发事故水域以及货物装卸、乘客上下比较集中的港口，对客渡船、滚装客船、高速客轮、旅游船和载运危险货物的船舶，海事管理机构必须加强安全巡查。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jc w:val="left"/>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交通主管部门、公路管理机构依法对有关公路的法律、法规执行情况进行监督检查。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检查、制止各种侵占、损坏公路、公路用地、公路附属设施及其他违反本法规定的行为。</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对水路运输辅助业实施监督检查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对有违反水上交通安全和防治船舶污染水域法律、行政法规行为船员的检查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行政检查</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18"/>
                <w:szCs w:val="18"/>
                <w:lang w:val="en-US" w:eastAsia="zh-CN" w:bidi="ar-SA"/>
              </w:rPr>
            </w:pPr>
            <w:r>
              <w:rPr>
                <w:rFonts w:hint="eastAsia" w:ascii="仿宋_GB2312" w:hAnsi="仿宋_GB2312" w:eastAsia="仿宋_GB2312" w:cs="仿宋_GB2312"/>
                <w:b w:val="0"/>
                <w:bCs w:val="0"/>
                <w:sz w:val="24"/>
                <w:szCs w:val="24"/>
                <w:vertAlign w:val="baseline"/>
                <w:lang w:val="en-US" w:eastAsia="zh-CN"/>
              </w:rPr>
              <w:t>在公路桥梁跨越的河道上下游各500米范围内依法进行疏浚作业的，应当符合公路桥梁安全要求，经公路管理机构确认安全方可作业。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18"/>
                <w:szCs w:val="18"/>
                <w:lang w:val="en-US" w:eastAsia="zh-CN" w:bidi="ar-SA"/>
              </w:rPr>
            </w:pPr>
            <w:r>
              <w:rPr>
                <w:rFonts w:hint="eastAsia" w:ascii="仿宋_GB2312" w:hAnsi="仿宋_GB2312" w:eastAsia="仿宋_GB2312" w:cs="仿宋_GB2312"/>
                <w:b w:val="0"/>
                <w:bCs w:val="0"/>
                <w:sz w:val="24"/>
                <w:szCs w:val="24"/>
                <w:vertAlign w:val="baseline"/>
                <w:lang w:val="en-US" w:eastAsia="zh-CN"/>
              </w:rPr>
              <w:t>农村公路建设项目验收。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船舶登记（含所有权、变更、抵押权、注销、 光船租赁、废钢船）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船舶名称核准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辖区内封闭水域内河船员适任考试发证</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营运车辆道路运输证配发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船舶最低安全配员证书核发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出租汽车驾驶员从业资格注册</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船员培训合格证书签发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船舶营运证配发</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船舶吨位复核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行政确认</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widowControl/>
              <w:jc w:val="left"/>
              <w:rPr>
                <w:rFonts w:ascii="Courier New" w:hAnsi="Courier New" w:eastAsia="宋体" w:cs="宋体"/>
                <w:kern w:val="0"/>
                <w:sz w:val="32"/>
                <w:szCs w:val="32"/>
              </w:rPr>
            </w:pPr>
            <w:r>
              <w:rPr>
                <w:rFonts w:hint="eastAsia" w:ascii="仿宋_GB2312" w:hAnsi="宋体" w:eastAsia="仿宋_GB2312" w:cs="宋体"/>
                <w:kern w:val="0"/>
                <w:sz w:val="24"/>
                <w:szCs w:val="24"/>
                <w:lang w:eastAsia="zh-CN"/>
              </w:rPr>
              <w:t>航行警（通）告发布</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公共服务</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道路客运企业质量信誉考核（含3A）</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机动车驾驶员培训机构质量信誉考核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机动车维修经营者质量信誉考核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道路货物运输企业质量信誉考核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道路货运车辆审验</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b/>
                <w:bCs/>
                <w:kern w:val="2"/>
                <w:sz w:val="28"/>
                <w:szCs w:val="28"/>
                <w:vertAlign w:val="baseline"/>
                <w:lang w:val="en-US" w:eastAsia="zh-CN" w:bidi="ar-SA"/>
              </w:rPr>
            </w:pPr>
            <w:r>
              <w:rPr>
                <w:rFonts w:hint="eastAsia" w:ascii="仿宋" w:hAnsi="仿宋" w:eastAsia="仿宋" w:cs="仿宋"/>
                <w:i w:val="0"/>
                <w:color w:val="000000"/>
                <w:kern w:val="0"/>
                <w:sz w:val="28"/>
                <w:szCs w:val="28"/>
                <w:u w:val="none"/>
                <w:lang w:val="en-US" w:eastAsia="zh-CN" w:bidi="ar"/>
              </w:rPr>
              <w:t>道路客运车辆审验</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航行通（警）告办理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船舶设计图纸审核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一、二级汽车客运站站级验收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道路运输企业质量信誉考核中初评为 AAA 级运输</w:t>
            </w:r>
          </w:p>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企业的核定</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普通干线公路改造、大修、危桥改造计划的编制与申报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普通干线公路新改建项目工可报告、设计文件的编制与申报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普通干线公路大修、中修及大桥、特大桥危桥改造项目实施方案的编制与申报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普通干线公路中修计划的编制与申报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普通干线公路大修、大桥危桥改造项目设计文件的编制与申报</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除“跨省辖市的普通干线公路建设项目；使用中央预算内投资、中央专项建设基金、中央统还国外贷款 5 亿元及以上，或使用中央预算内投资、中央专项建设基金、统借自还国外贷款的总投资 50 亿元及以上的普通干线公路项目；普通干线公路跨黄河大桥建设项目”外的普通干线公路项目设计审批；非跨省辖市的内河水运项目设计审批</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航道养护工程的设计审查、交（竣）工验收</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公路、单独的桥梁和隧道建设项目交工验收备案</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交通工程建设项目招投标备案（高速公路、国省干线公路除外）</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公路工程质量监督手续办理</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41" w:hRule="atLeast"/>
        </w:trPr>
        <w:tc>
          <w:tcPr>
            <w:tcW w:w="1252" w:type="dxa"/>
            <w:tcBorders>
              <w:top w:val="nil"/>
              <w:left w:val="single" w:color="auto" w:sz="4" w:space="0"/>
              <w:bottom w:val="single" w:color="auto" w:sz="4" w:space="0"/>
              <w:right w:val="single" w:color="auto" w:sz="4" w:space="0"/>
            </w:tcBorders>
            <w:shd w:val="clear" w:color="auto" w:fill="auto"/>
            <w:noWrap/>
            <w:vAlign w:val="center"/>
          </w:tcPr>
          <w:p>
            <w:pPr>
              <w:widowControl/>
              <w:numPr>
                <w:ilvl w:val="0"/>
                <w:numId w:val="1"/>
              </w:numPr>
              <w:ind w:left="425" w:leftChars="0" w:hanging="425" w:firstLineChars="0"/>
              <w:jc w:val="left"/>
              <w:rPr>
                <w:rFonts w:hint="default" w:ascii="Courier New" w:hAnsi="Courier New" w:eastAsia="宋体" w:cs="宋体"/>
                <w:kern w:val="0"/>
                <w:sz w:val="32"/>
                <w:szCs w:val="32"/>
                <w:lang w:val="en-US" w:eastAsia="zh-CN"/>
              </w:rPr>
            </w:pPr>
          </w:p>
        </w:tc>
        <w:tc>
          <w:tcPr>
            <w:tcW w:w="4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城乡道路客运成品油价格补助申报审核</w:t>
            </w:r>
          </w:p>
        </w:tc>
        <w:tc>
          <w:tcPr>
            <w:tcW w:w="39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其他职权</w:t>
            </w:r>
          </w:p>
        </w:tc>
      </w:tr>
      <w:tr>
        <w:tblPrEx>
          <w:tblCellMar>
            <w:top w:w="0" w:type="dxa"/>
            <w:left w:w="108" w:type="dxa"/>
            <w:bottom w:w="0" w:type="dxa"/>
            <w:right w:w="108" w:type="dxa"/>
          </w:tblCellMar>
        </w:tblPrEx>
        <w:trPr>
          <w:trHeight w:val="690" w:hRule="atLeast"/>
        </w:trPr>
        <w:tc>
          <w:tcPr>
            <w:tcW w:w="982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（部门</w:t>
            </w:r>
            <w:r>
              <w:rPr>
                <w:rFonts w:ascii="黑体" w:hAnsi="黑体" w:eastAsia="黑体" w:cs="宋体"/>
                <w:kern w:val="0"/>
                <w:sz w:val="24"/>
                <w:szCs w:val="24"/>
              </w:rPr>
              <w:t>名称</w:t>
            </w:r>
            <w:r>
              <w:rPr>
                <w:rFonts w:hint="eastAsia" w:ascii="黑体" w:hAnsi="黑体" w:eastAsia="黑体" w:cs="宋体"/>
                <w:kern w:val="0"/>
                <w:sz w:val="24"/>
                <w:szCs w:val="24"/>
              </w:rPr>
              <w:t>）行政职权</w:t>
            </w:r>
            <w:r>
              <w:rPr>
                <w:rFonts w:ascii="黑体" w:hAnsi="黑体" w:eastAsia="黑体" w:cs="宋体"/>
                <w:kern w:val="0"/>
                <w:sz w:val="24"/>
                <w:szCs w:val="24"/>
              </w:rPr>
              <w:t>事项共</w:t>
            </w:r>
            <w:r>
              <w:rPr>
                <w:rFonts w:hint="eastAsia" w:ascii="黑体" w:hAnsi="黑体" w:eastAsia="黑体" w:cs="宋体"/>
                <w:kern w:val="0"/>
                <w:sz w:val="24"/>
                <w:szCs w:val="24"/>
                <w:lang w:val="en-US" w:eastAsia="zh-CN"/>
              </w:rPr>
              <w:t>248</w:t>
            </w:r>
            <w:r>
              <w:rPr>
                <w:rFonts w:hint="eastAsia" w:ascii="黑体" w:hAnsi="黑体" w:eastAsia="黑体" w:cs="宋体"/>
                <w:kern w:val="0"/>
                <w:sz w:val="24"/>
                <w:szCs w:val="24"/>
              </w:rPr>
              <w:t>项。</w:t>
            </w:r>
            <w:r>
              <w:rPr>
                <w:rFonts w:ascii="黑体" w:hAnsi="黑体" w:eastAsia="黑体" w:cs="宋体"/>
                <w:kern w:val="0"/>
                <w:sz w:val="24"/>
                <w:szCs w:val="24"/>
              </w:rPr>
              <w:t>其中</w:t>
            </w:r>
            <w:r>
              <w:rPr>
                <w:rFonts w:hint="eastAsia" w:ascii="黑体" w:hAnsi="黑体" w:eastAsia="黑体" w:cs="宋体"/>
                <w:kern w:val="0"/>
                <w:sz w:val="24"/>
                <w:szCs w:val="24"/>
              </w:rPr>
              <w:t>：行政</w:t>
            </w:r>
            <w:r>
              <w:rPr>
                <w:rFonts w:ascii="黑体" w:hAnsi="黑体" w:eastAsia="黑体" w:cs="宋体"/>
                <w:kern w:val="0"/>
                <w:sz w:val="24"/>
                <w:szCs w:val="24"/>
              </w:rPr>
              <w:t>许可</w:t>
            </w:r>
            <w:r>
              <w:rPr>
                <w:rFonts w:hint="eastAsia" w:ascii="黑体" w:hAnsi="黑体" w:eastAsia="黑体" w:cs="宋体"/>
                <w:kern w:val="0"/>
                <w:sz w:val="24"/>
                <w:szCs w:val="24"/>
                <w:lang w:val="en-US" w:eastAsia="zh-CN"/>
              </w:rPr>
              <w:t>66</w:t>
            </w:r>
            <w:r>
              <w:rPr>
                <w:rFonts w:hint="eastAsia" w:ascii="黑体" w:hAnsi="黑体" w:eastAsia="黑体" w:cs="宋体"/>
                <w:kern w:val="0"/>
                <w:sz w:val="24"/>
                <w:szCs w:val="24"/>
              </w:rPr>
              <w:t>项；</w:t>
            </w:r>
            <w:r>
              <w:rPr>
                <w:rFonts w:ascii="黑体" w:hAnsi="黑体" w:eastAsia="黑体" w:cs="宋体"/>
                <w:kern w:val="0"/>
                <w:sz w:val="24"/>
                <w:szCs w:val="24"/>
              </w:rPr>
              <w:t>行政处罚</w:t>
            </w:r>
            <w:r>
              <w:rPr>
                <w:rFonts w:hint="eastAsia" w:ascii="黑体" w:hAnsi="黑体" w:eastAsia="黑体" w:cs="宋体"/>
                <w:kern w:val="0"/>
                <w:sz w:val="24"/>
                <w:szCs w:val="24"/>
                <w:lang w:val="en-US" w:eastAsia="zh-CN"/>
              </w:rPr>
              <w:t>129</w:t>
            </w:r>
            <w:r>
              <w:rPr>
                <w:rFonts w:hint="eastAsia" w:ascii="黑体" w:hAnsi="黑体" w:eastAsia="黑体" w:cs="宋体"/>
                <w:kern w:val="0"/>
                <w:sz w:val="24"/>
                <w:szCs w:val="24"/>
              </w:rPr>
              <w:t>项</w:t>
            </w:r>
            <w:r>
              <w:rPr>
                <w:rFonts w:ascii="黑体" w:hAnsi="黑体" w:eastAsia="黑体" w:cs="宋体"/>
                <w:kern w:val="0"/>
                <w:sz w:val="24"/>
                <w:szCs w:val="24"/>
              </w:rPr>
              <w:t>、行政强制</w:t>
            </w:r>
            <w:r>
              <w:rPr>
                <w:rFonts w:hint="eastAsia" w:ascii="黑体" w:hAnsi="黑体" w:eastAsia="黑体" w:cs="宋体"/>
                <w:kern w:val="0"/>
                <w:sz w:val="24"/>
                <w:szCs w:val="24"/>
                <w:lang w:val="en-US" w:eastAsia="zh-CN"/>
              </w:rPr>
              <w:t>10</w:t>
            </w:r>
            <w:r>
              <w:rPr>
                <w:rFonts w:hint="eastAsia" w:ascii="黑体" w:hAnsi="黑体" w:eastAsia="黑体" w:cs="宋体"/>
                <w:kern w:val="0"/>
                <w:sz w:val="24"/>
                <w:szCs w:val="24"/>
              </w:rPr>
              <w:t>项</w:t>
            </w:r>
            <w:r>
              <w:rPr>
                <w:rFonts w:ascii="黑体" w:hAnsi="黑体" w:eastAsia="黑体" w:cs="宋体"/>
                <w:kern w:val="0"/>
                <w:sz w:val="24"/>
                <w:szCs w:val="24"/>
              </w:rPr>
              <w:t>、行政检查</w:t>
            </w:r>
            <w:r>
              <w:rPr>
                <w:rFonts w:hint="eastAsia" w:ascii="黑体" w:hAnsi="黑体" w:eastAsia="黑体" w:cs="宋体"/>
                <w:kern w:val="0"/>
                <w:sz w:val="24"/>
                <w:szCs w:val="24"/>
                <w:lang w:val="en-US" w:eastAsia="zh-CN"/>
              </w:rPr>
              <w:t>10</w:t>
            </w:r>
            <w:r>
              <w:rPr>
                <w:rFonts w:hint="eastAsia" w:ascii="黑体" w:hAnsi="黑体" w:eastAsia="黑体" w:cs="宋体"/>
                <w:kern w:val="0"/>
                <w:sz w:val="24"/>
                <w:szCs w:val="24"/>
              </w:rPr>
              <w:t>项</w:t>
            </w:r>
            <w:r>
              <w:rPr>
                <w:rFonts w:ascii="黑体" w:hAnsi="黑体" w:eastAsia="黑体" w:cs="宋体"/>
                <w:kern w:val="0"/>
                <w:sz w:val="24"/>
                <w:szCs w:val="24"/>
              </w:rPr>
              <w:t>、行政确认</w:t>
            </w:r>
            <w:r>
              <w:rPr>
                <w:rFonts w:hint="eastAsia" w:ascii="黑体" w:hAnsi="黑体" w:eastAsia="黑体" w:cs="宋体"/>
                <w:kern w:val="0"/>
                <w:sz w:val="24"/>
                <w:szCs w:val="24"/>
                <w:lang w:val="en-US" w:eastAsia="zh-CN"/>
              </w:rPr>
              <w:t>12</w:t>
            </w:r>
            <w:bookmarkStart w:id="0" w:name="_GoBack"/>
            <w:bookmarkEnd w:id="0"/>
            <w:r>
              <w:rPr>
                <w:rFonts w:hint="eastAsia" w:ascii="黑体" w:hAnsi="黑体" w:eastAsia="黑体" w:cs="宋体"/>
                <w:kern w:val="0"/>
                <w:sz w:val="24"/>
                <w:szCs w:val="24"/>
              </w:rPr>
              <w:t>项</w:t>
            </w:r>
            <w:r>
              <w:rPr>
                <w:rFonts w:ascii="黑体" w:hAnsi="黑体" w:eastAsia="黑体" w:cs="宋体"/>
                <w:kern w:val="0"/>
                <w:sz w:val="24"/>
                <w:szCs w:val="24"/>
              </w:rPr>
              <w:t>、其他职权</w:t>
            </w:r>
            <w:r>
              <w:rPr>
                <w:rFonts w:hint="eastAsia" w:ascii="黑体" w:hAnsi="黑体" w:eastAsia="黑体" w:cs="宋体"/>
                <w:kern w:val="0"/>
                <w:sz w:val="24"/>
                <w:szCs w:val="24"/>
                <w:lang w:val="en-US" w:eastAsia="zh-CN"/>
              </w:rPr>
              <w:t>21</w:t>
            </w:r>
            <w:r>
              <w:rPr>
                <w:rFonts w:hint="eastAsia" w:ascii="黑体" w:hAnsi="黑体" w:eastAsia="黑体" w:cs="宋体"/>
                <w:kern w:val="0"/>
                <w:sz w:val="24"/>
                <w:szCs w:val="24"/>
              </w:rPr>
              <w:t>项。</w:t>
            </w:r>
          </w:p>
        </w:tc>
      </w:tr>
      <w:tr>
        <w:tblPrEx>
          <w:tblCellMar>
            <w:top w:w="0" w:type="dxa"/>
            <w:left w:w="108" w:type="dxa"/>
            <w:bottom w:w="0" w:type="dxa"/>
            <w:right w:w="108" w:type="dxa"/>
          </w:tblCellMar>
        </w:tblPrEx>
        <w:trPr>
          <w:trHeight w:val="825" w:hRule="atLeast"/>
        </w:trPr>
        <w:tc>
          <w:tcPr>
            <w:tcW w:w="9820" w:type="dxa"/>
            <w:gridSpan w:val="3"/>
            <w:tcBorders>
              <w:top w:val="single" w:color="auto" w:sz="4" w:space="0"/>
              <w:left w:val="nil"/>
              <w:bottom w:val="nil"/>
              <w:right w:val="nil"/>
            </w:tcBorders>
            <w:shd w:val="clear" w:color="auto" w:fill="auto"/>
            <w:vAlign w:val="center"/>
          </w:tcPr>
          <w:p>
            <w:pPr>
              <w:widowControl/>
              <w:spacing w:line="400" w:lineRule="exact"/>
              <w:ind w:left="840" w:hanging="840" w:hangingChars="300"/>
              <w:jc w:val="left"/>
              <w:rPr>
                <w:rFonts w:ascii="Courier New" w:hAnsi="Courier New" w:eastAsia="宋体" w:cs="宋体"/>
                <w:kern w:val="0"/>
                <w:sz w:val="28"/>
                <w:szCs w:val="28"/>
              </w:rPr>
            </w:pPr>
            <w:r>
              <w:rPr>
                <w:rFonts w:hint="eastAsia" w:ascii="Courier New" w:hAnsi="Courier New" w:eastAsia="宋体" w:cs="宋体"/>
                <w:kern w:val="0"/>
                <w:sz w:val="28"/>
                <w:szCs w:val="28"/>
              </w:rPr>
              <w:t>说明</w:t>
            </w:r>
            <w:r>
              <w:rPr>
                <w:rFonts w:ascii="Courier New" w:hAnsi="Courier New" w:eastAsia="宋体" w:cs="宋体"/>
                <w:kern w:val="0"/>
                <w:sz w:val="28"/>
                <w:szCs w:val="28"/>
              </w:rPr>
              <w:t>：各部门按照行政许可、行政处罚、行政强制、行政征收、行政给付、</w:t>
            </w:r>
          </w:p>
          <w:p>
            <w:pPr>
              <w:widowControl/>
              <w:spacing w:line="400" w:lineRule="exact"/>
              <w:ind w:left="838" w:leftChars="399"/>
              <w:jc w:val="left"/>
              <w:rPr>
                <w:rFonts w:ascii="Courier New" w:hAnsi="Courier New" w:eastAsia="宋体" w:cs="宋体"/>
                <w:kern w:val="0"/>
                <w:sz w:val="28"/>
                <w:szCs w:val="28"/>
              </w:rPr>
            </w:pPr>
            <w:r>
              <w:rPr>
                <w:rFonts w:ascii="Courier New" w:hAnsi="Courier New" w:eastAsia="宋体" w:cs="宋体"/>
                <w:kern w:val="0"/>
                <w:sz w:val="28"/>
                <w:szCs w:val="28"/>
              </w:rPr>
              <w:t>行政检查、行政确认、其他职权8个类别，按顺序分类汇总。</w:t>
            </w:r>
          </w:p>
        </w:tc>
      </w:tr>
    </w:tbl>
    <w:p/>
    <w:sectPr>
      <w:pgSz w:w="11906" w:h="16838"/>
      <w:pgMar w:top="1701" w:right="1134" w:bottom="1701"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创艺简标宋">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C727A"/>
    <w:multiLevelType w:val="singleLevel"/>
    <w:tmpl w:val="3CAC727A"/>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wZjNhOWEzMDkzNjJhOGM0MjE0MGViYTI4MjhlMDAifQ=="/>
  </w:docVars>
  <w:rsids>
    <w:rsidRoot w:val="00336FD3"/>
    <w:rsid w:val="00023BAC"/>
    <w:rsid w:val="00336FD3"/>
    <w:rsid w:val="005914A1"/>
    <w:rsid w:val="00924494"/>
    <w:rsid w:val="009A55A4"/>
    <w:rsid w:val="009E0D04"/>
    <w:rsid w:val="00A73FF2"/>
    <w:rsid w:val="02C17FC3"/>
    <w:rsid w:val="04D31337"/>
    <w:rsid w:val="05145BD8"/>
    <w:rsid w:val="06021ED4"/>
    <w:rsid w:val="068C5C42"/>
    <w:rsid w:val="07681BB3"/>
    <w:rsid w:val="09C851E3"/>
    <w:rsid w:val="0FF30ADF"/>
    <w:rsid w:val="15E2762C"/>
    <w:rsid w:val="16B03286"/>
    <w:rsid w:val="1867206B"/>
    <w:rsid w:val="18AF6B31"/>
    <w:rsid w:val="1AE16104"/>
    <w:rsid w:val="214C62A1"/>
    <w:rsid w:val="226A2E83"/>
    <w:rsid w:val="257007B0"/>
    <w:rsid w:val="2D34086B"/>
    <w:rsid w:val="2D4F15F3"/>
    <w:rsid w:val="2E552C39"/>
    <w:rsid w:val="2FE7130D"/>
    <w:rsid w:val="30CD4415"/>
    <w:rsid w:val="32C24888"/>
    <w:rsid w:val="342310E4"/>
    <w:rsid w:val="378254C0"/>
    <w:rsid w:val="39E430C3"/>
    <w:rsid w:val="3DDF7E2A"/>
    <w:rsid w:val="3E2E0DB1"/>
    <w:rsid w:val="3EEA2F2A"/>
    <w:rsid w:val="4157061F"/>
    <w:rsid w:val="42344779"/>
    <w:rsid w:val="47833F1C"/>
    <w:rsid w:val="48822425"/>
    <w:rsid w:val="49BC3715"/>
    <w:rsid w:val="4FED33C9"/>
    <w:rsid w:val="56CA28DD"/>
    <w:rsid w:val="59592D2E"/>
    <w:rsid w:val="59D2663D"/>
    <w:rsid w:val="5E39312E"/>
    <w:rsid w:val="6F9E7295"/>
    <w:rsid w:val="71A60683"/>
    <w:rsid w:val="72AE5A41"/>
    <w:rsid w:val="75C612F4"/>
    <w:rsid w:val="76796366"/>
    <w:rsid w:val="7860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15</Pages>
  <Words>8273</Words>
  <Characters>8290</Characters>
  <Lines>1</Lines>
  <Paragraphs>1</Paragraphs>
  <TotalTime>2</TotalTime>
  <ScaleCrop>false</ScaleCrop>
  <LinksUpToDate>false</LinksUpToDate>
  <CharactersWithSpaces>8380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2019-09-11T00:15:00Z</dcterms:created>
  <dc:creator>User</dc:creator>
  <cp:lastModifiedBy>泽</cp:lastModifiedBy>
  <cp:lastPrinted>2019-11-04T02:20:00Z</cp:lastPrinted>
  <dcterms:modified xsi:type="dcterms:W3CDTF">2023-01-20T00:25:59Z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6D23404A05E34620A3E03EF698670963</vt:lpwstr>
  </property>
</Properties>
</file>