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hint="eastAsia" w:ascii="黑体" w:hAnsi="黑体" w:eastAsia="黑体" w:cs="黑体"/>
          <w:b w:val="0"/>
          <w:bCs/>
          <w:color w:val="000000"/>
          <w:sz w:val="36"/>
          <w:szCs w:val="36"/>
          <w:lang w:val="en-US" w:eastAsia="zh-CN"/>
        </w:rPr>
      </w:pPr>
      <w:r>
        <w:rPr>
          <w:rFonts w:hint="eastAsia" w:ascii="黑体" w:hAnsi="黑体" w:eastAsia="黑体" w:cs="黑体"/>
          <w:b w:val="0"/>
          <w:bCs/>
          <w:color w:val="000000"/>
          <w:sz w:val="36"/>
          <w:szCs w:val="36"/>
          <w:lang w:val="en-US" w:eastAsia="zh-CN"/>
        </w:rPr>
        <w:t>附件2</w:t>
      </w:r>
    </w:p>
    <w:p>
      <w:pPr>
        <w:spacing w:after="0"/>
        <w:jc w:val="center"/>
        <w:rPr>
          <w:rFonts w:hint="eastAsia" w:ascii="方正小标宋简体" w:hAnsi="方正小标宋简体" w:eastAsia="方正小标宋简体" w:cs="方正小标宋简体"/>
          <w:b w:val="0"/>
          <w:bCs/>
          <w:color w:val="000000"/>
          <w:sz w:val="15"/>
          <w:szCs w:val="15"/>
          <w:lang w:val="en-US" w:eastAsia="zh-CN"/>
        </w:rPr>
      </w:pPr>
      <w:bookmarkStart w:id="0" w:name="_GoBack"/>
      <w:r>
        <w:rPr>
          <w:rFonts w:hint="eastAsia" w:ascii="方正小标宋简体" w:hAnsi="方正小标宋简体" w:eastAsia="方正小标宋简体" w:cs="方正小标宋简体"/>
          <w:b w:val="0"/>
          <w:bCs/>
          <w:color w:val="000000"/>
          <w:sz w:val="36"/>
          <w:szCs w:val="36"/>
          <w:lang w:val="en-US" w:eastAsia="zh-CN"/>
        </w:rPr>
        <w:t>2022年度叶县住房和城乡建设</w:t>
      </w:r>
      <w:r>
        <w:rPr>
          <w:rFonts w:hint="eastAsia" w:ascii="方正小标宋简体" w:hAnsi="方正小标宋简体" w:eastAsia="方正小标宋简体" w:cs="方正小标宋简体"/>
          <w:b w:val="0"/>
          <w:bCs/>
          <w:color w:val="000000"/>
          <w:sz w:val="36"/>
          <w:szCs w:val="36"/>
        </w:rPr>
        <w:t>局</w:t>
      </w:r>
      <w:r>
        <w:rPr>
          <w:rFonts w:hint="eastAsia" w:ascii="方正小标宋简体" w:hAnsi="方正小标宋简体" w:eastAsia="方正小标宋简体" w:cs="方正小标宋简体"/>
          <w:b w:val="0"/>
          <w:bCs/>
          <w:color w:val="000000"/>
          <w:sz w:val="36"/>
          <w:szCs w:val="36"/>
          <w:lang w:val="en-US" w:eastAsia="zh-CN"/>
        </w:rPr>
        <w:t>“双随机、一公开”抽查工作计划表</w:t>
      </w:r>
      <w:bookmarkEnd w:id="0"/>
    </w:p>
    <w:p>
      <w:pPr>
        <w:spacing w:after="0"/>
        <w:jc w:val="center"/>
        <w:rPr>
          <w:rFonts w:hint="eastAsia" w:ascii="方正小标宋简体" w:hAnsi="方正小标宋简体" w:eastAsia="方正小标宋简体" w:cs="方正小标宋简体"/>
          <w:b w:val="0"/>
          <w:bCs/>
          <w:color w:val="000000"/>
          <w:sz w:val="13"/>
          <w:szCs w:val="13"/>
          <w:lang w:val="en-US" w:eastAsia="zh-CN"/>
        </w:rPr>
      </w:pPr>
    </w:p>
    <w:tbl>
      <w:tblPr>
        <w:tblStyle w:val="3"/>
        <w:tblW w:w="5342"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69"/>
        <w:gridCol w:w="2206"/>
        <w:gridCol w:w="1351"/>
        <w:gridCol w:w="705"/>
        <w:gridCol w:w="1050"/>
        <w:gridCol w:w="1169"/>
        <w:gridCol w:w="5130"/>
        <w:gridCol w:w="99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序号</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抽查事项名称</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抽查依据</w:t>
            </w:r>
          </w:p>
        </w:tc>
        <w:tc>
          <w:tcPr>
            <w:tcW w:w="44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抽查对象</w:t>
            </w:r>
          </w:p>
        </w:tc>
        <w:tc>
          <w:tcPr>
            <w:tcW w:w="232" w:type="pct"/>
            <w:vAlign w:val="center"/>
          </w:tcPr>
          <w:p>
            <w:pPr>
              <w:tabs>
                <w:tab w:val="left" w:pos="281"/>
              </w:tabs>
              <w:spacing w:after="0" w:line="220" w:lineRule="atLeast"/>
              <w:jc w:val="left"/>
              <w:rPr>
                <w:rFonts w:hint="eastAsia"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事项</w:t>
            </w:r>
          </w:p>
          <w:p>
            <w:pPr>
              <w:tabs>
                <w:tab w:val="left" w:pos="281"/>
              </w:tabs>
              <w:spacing w:after="0" w:line="220" w:lineRule="atLeast"/>
              <w:jc w:val="left"/>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类别</w:t>
            </w:r>
          </w:p>
        </w:tc>
        <w:tc>
          <w:tcPr>
            <w:tcW w:w="34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lang w:val="en-US" w:eastAsia="zh-CN"/>
              </w:rPr>
              <w:t>抽查比例/</w:t>
            </w:r>
            <w:r>
              <w:rPr>
                <w:rFonts w:hint="eastAsia" w:ascii="宋体" w:hAnsi="宋体" w:eastAsia="宋体"/>
                <w:sz w:val="21"/>
                <w:szCs w:val="21"/>
              </w:rPr>
              <w:t>频次</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抽查方式</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抽查内容</w:t>
            </w:r>
          </w:p>
        </w:tc>
        <w:tc>
          <w:tcPr>
            <w:tcW w:w="32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抽查</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时间</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责任</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1</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房地产开</w:t>
            </w:r>
          </w:p>
          <w:p>
            <w:pPr>
              <w:spacing w:after="0" w:line="220" w:lineRule="atLeast"/>
              <w:jc w:val="center"/>
              <w:rPr>
                <w:rFonts w:ascii="宋体" w:hAnsi="宋体" w:eastAsia="宋体"/>
                <w:sz w:val="21"/>
                <w:szCs w:val="21"/>
              </w:rPr>
            </w:pPr>
            <w:r>
              <w:rPr>
                <w:rFonts w:hint="eastAsia" w:ascii="宋体" w:hAnsi="宋体" w:eastAsia="宋体"/>
                <w:sz w:val="21"/>
                <w:szCs w:val="21"/>
              </w:rPr>
              <w:t>发企业监</w:t>
            </w:r>
          </w:p>
          <w:p>
            <w:pPr>
              <w:spacing w:after="0" w:line="220" w:lineRule="atLeast"/>
              <w:jc w:val="center"/>
              <w:rPr>
                <w:rFonts w:ascii="宋体" w:hAnsi="宋体" w:eastAsia="宋体"/>
                <w:sz w:val="21"/>
                <w:szCs w:val="21"/>
              </w:rPr>
            </w:pPr>
            <w:r>
              <w:rPr>
                <w:rFonts w:hint="eastAsia" w:ascii="宋体" w:hAnsi="宋体" w:eastAsia="宋体"/>
                <w:sz w:val="21"/>
                <w:szCs w:val="21"/>
              </w:rPr>
              <w:t>督检查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房地产开发企业资质管理规定》( 建设部令第 7 7号)第四条、第十一条。</w:t>
            </w:r>
          </w:p>
        </w:tc>
        <w:tc>
          <w:tcPr>
            <w:tcW w:w="44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lang w:val="en-US" w:eastAsia="zh-CN"/>
              </w:rPr>
              <w:t>三级</w:t>
            </w:r>
            <w:r>
              <w:rPr>
                <w:rFonts w:hint="eastAsia" w:ascii="宋体" w:hAnsi="宋体" w:eastAsia="宋体"/>
                <w:sz w:val="21"/>
                <w:szCs w:val="21"/>
              </w:rPr>
              <w:t>以</w:t>
            </w:r>
            <w:r>
              <w:rPr>
                <w:rFonts w:hint="eastAsia" w:ascii="宋体" w:hAnsi="宋体" w:eastAsia="宋体"/>
                <w:sz w:val="21"/>
                <w:szCs w:val="21"/>
                <w:lang w:val="en-US" w:eastAsia="zh-CN"/>
              </w:rPr>
              <w:t>下</w:t>
            </w:r>
            <w:r>
              <w:rPr>
                <w:rFonts w:hint="eastAsia" w:ascii="宋体" w:hAnsi="宋体" w:eastAsia="宋体"/>
                <w:sz w:val="21"/>
                <w:szCs w:val="21"/>
              </w:rPr>
              <w:t>房地产开发企业</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center"/>
              <w:rPr>
                <w:rFonts w:ascii="宋体" w:hAnsi="宋体" w:eastAsia="宋体"/>
                <w:sz w:val="21"/>
                <w:szCs w:val="21"/>
              </w:rPr>
            </w:pPr>
            <w:r>
              <w:rPr>
                <w:rFonts w:hint="eastAsia" w:ascii="宋体" w:hAnsi="宋体" w:eastAsia="宋体"/>
                <w:sz w:val="21"/>
                <w:szCs w:val="21"/>
              </w:rPr>
              <w:t>1 次/年</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p>
            <w:pPr>
              <w:spacing w:after="0" w:line="220" w:lineRule="atLeast"/>
              <w:jc w:val="center"/>
              <w:rPr>
                <w:rFonts w:ascii="宋体" w:hAnsi="宋体" w:eastAsia="宋体"/>
                <w:sz w:val="21"/>
                <w:szCs w:val="21"/>
              </w:rPr>
            </w:pP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1.专业技术人员力量、开发建设项目业绩情况；2.质量控制制度建立和实施情况； 3.房地产开发项目手册制定和报送情况； 4.住宅质量保证书、住宅使用说明书 执行情况； 5.依法、依规及诚信经营情况。</w:t>
            </w:r>
          </w:p>
        </w:tc>
        <w:tc>
          <w:tcPr>
            <w:tcW w:w="326" w:type="pct"/>
            <w:vAlign w:val="center"/>
          </w:tcPr>
          <w:p>
            <w:pPr>
              <w:tabs>
                <w:tab w:val="left" w:pos="296"/>
              </w:tabs>
              <w:spacing w:after="0" w:line="220" w:lineRule="atLeast"/>
              <w:jc w:val="left"/>
              <w:rPr>
                <w:rFonts w:hint="default" w:ascii="宋体" w:hAnsi="宋体" w:eastAsia="宋体"/>
                <w:sz w:val="21"/>
                <w:szCs w:val="21"/>
                <w:lang w:val="en-US" w:eastAsia="zh-CN"/>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5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建设工程</w:t>
            </w:r>
          </w:p>
          <w:p>
            <w:pPr>
              <w:spacing w:after="0" w:line="220" w:lineRule="atLeast"/>
              <w:jc w:val="center"/>
              <w:rPr>
                <w:rFonts w:ascii="宋体" w:hAnsi="宋体" w:eastAsia="宋体"/>
                <w:sz w:val="21"/>
                <w:szCs w:val="21"/>
              </w:rPr>
            </w:pPr>
            <w:r>
              <w:rPr>
                <w:rFonts w:hint="eastAsia" w:ascii="宋体" w:hAnsi="宋体" w:eastAsia="宋体"/>
                <w:sz w:val="21"/>
                <w:szCs w:val="21"/>
              </w:rPr>
              <w:t>质量监督</w:t>
            </w:r>
          </w:p>
          <w:p>
            <w:pPr>
              <w:spacing w:after="0" w:line="220" w:lineRule="atLeast"/>
              <w:jc w:val="center"/>
              <w:rPr>
                <w:rFonts w:ascii="宋体" w:hAnsi="宋体" w:eastAsia="宋体"/>
                <w:sz w:val="21"/>
                <w:szCs w:val="21"/>
              </w:rPr>
            </w:pPr>
            <w:r>
              <w:rPr>
                <w:rFonts w:hint="eastAsia" w:ascii="宋体" w:hAnsi="宋体" w:eastAsia="宋体"/>
                <w:sz w:val="21"/>
                <w:szCs w:val="21"/>
              </w:rPr>
              <w:t>检查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建设工程质量管理条例》第四条、第四十七条。</w:t>
            </w:r>
          </w:p>
        </w:tc>
        <w:tc>
          <w:tcPr>
            <w:tcW w:w="44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rPr>
              <w:t>在建房屋建筑工程</w:t>
            </w:r>
            <w:r>
              <w:rPr>
                <w:rFonts w:hint="eastAsia" w:ascii="宋体" w:hAnsi="宋体" w:eastAsia="宋体"/>
                <w:sz w:val="21"/>
                <w:szCs w:val="21"/>
                <w:lang w:val="en-US" w:eastAsia="zh-CN"/>
              </w:rPr>
              <w:t>和市政基础设施工程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both"/>
              <w:rPr>
                <w:rFonts w:ascii="宋体" w:hAnsi="宋体" w:eastAsia="宋体"/>
                <w:sz w:val="21"/>
                <w:szCs w:val="21"/>
              </w:rPr>
            </w:pPr>
            <w:r>
              <w:rPr>
                <w:rFonts w:hint="eastAsia" w:ascii="宋体" w:hAnsi="宋体" w:eastAsia="宋体"/>
                <w:sz w:val="21"/>
                <w:szCs w:val="21"/>
              </w:rPr>
              <w:t>1次/年</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1.质量行为；2.工程实体质量和进场建筑材料、设备情况；3.工程质量检测机构、监督机构履职情况。</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质监站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建设工程</w:t>
            </w:r>
          </w:p>
          <w:p>
            <w:pPr>
              <w:spacing w:after="0" w:line="220" w:lineRule="atLeast"/>
              <w:jc w:val="center"/>
              <w:rPr>
                <w:rFonts w:ascii="宋体" w:hAnsi="宋体" w:eastAsia="宋体"/>
                <w:sz w:val="21"/>
                <w:szCs w:val="21"/>
              </w:rPr>
            </w:pPr>
            <w:r>
              <w:rPr>
                <w:rFonts w:hint="eastAsia" w:ascii="宋体" w:hAnsi="宋体" w:eastAsia="宋体"/>
                <w:sz w:val="21"/>
                <w:szCs w:val="21"/>
              </w:rPr>
              <w:t>安全监督</w:t>
            </w:r>
          </w:p>
          <w:p>
            <w:pPr>
              <w:spacing w:after="0" w:line="220" w:lineRule="atLeast"/>
              <w:jc w:val="center"/>
              <w:rPr>
                <w:rFonts w:ascii="宋体" w:hAnsi="宋体" w:eastAsia="宋体"/>
                <w:sz w:val="21"/>
                <w:szCs w:val="21"/>
              </w:rPr>
            </w:pPr>
            <w:r>
              <w:rPr>
                <w:rFonts w:hint="eastAsia" w:ascii="宋体" w:hAnsi="宋体" w:eastAsia="宋体"/>
                <w:sz w:val="21"/>
                <w:szCs w:val="21"/>
              </w:rPr>
              <w:t>检查</w:t>
            </w:r>
          </w:p>
        </w:tc>
        <w:tc>
          <w:tcPr>
            <w:tcW w:w="728"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rPr>
              <w:t>《 中华人民共和国建筑法》第四十三条；《建设工程安全生产管理条例》第四十条第二款。</w:t>
            </w:r>
            <w:r>
              <w:rPr>
                <w:rFonts w:hint="eastAsia" w:ascii="宋体" w:hAnsi="宋体" w:eastAsia="宋体"/>
                <w:sz w:val="21"/>
                <w:szCs w:val="21"/>
                <w:lang w:eastAsia="zh-CN"/>
              </w:rPr>
              <w:t>《</w:t>
            </w:r>
            <w:r>
              <w:rPr>
                <w:rFonts w:hint="eastAsia" w:ascii="宋体" w:hAnsi="宋体" w:eastAsia="宋体"/>
                <w:sz w:val="21"/>
                <w:szCs w:val="21"/>
                <w:lang w:val="en-US" w:eastAsia="zh-CN"/>
              </w:rPr>
              <w:t>安全生产许可证条例</w:t>
            </w:r>
            <w:r>
              <w:rPr>
                <w:rFonts w:hint="eastAsia" w:ascii="宋体" w:hAnsi="宋体" w:eastAsia="宋体"/>
                <w:sz w:val="21"/>
                <w:szCs w:val="21"/>
                <w:lang w:eastAsia="zh-CN"/>
              </w:rPr>
              <w:t>》</w:t>
            </w:r>
            <w:r>
              <w:rPr>
                <w:rFonts w:hint="eastAsia" w:ascii="宋体" w:hAnsi="宋体" w:eastAsia="宋体"/>
                <w:sz w:val="21"/>
                <w:szCs w:val="21"/>
                <w:lang w:val="en-US" w:eastAsia="zh-CN"/>
              </w:rPr>
              <w:t>第四条</w:t>
            </w:r>
          </w:p>
        </w:tc>
        <w:tc>
          <w:tcPr>
            <w:tcW w:w="44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在建房屋建筑和市政基础设施工程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重点检查事项</w:t>
            </w:r>
          </w:p>
        </w:tc>
        <w:tc>
          <w:tcPr>
            <w:tcW w:w="346" w:type="pct"/>
            <w:vAlign w:val="center"/>
          </w:tcPr>
          <w:p>
            <w:pPr>
              <w:spacing w:after="0" w:line="220" w:lineRule="atLeast"/>
              <w:ind w:firstLine="210" w:firstLineChars="100"/>
              <w:jc w:val="both"/>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both"/>
              <w:rPr>
                <w:rFonts w:hint="default" w:ascii="宋体" w:hAnsi="宋体" w:eastAsia="宋体"/>
                <w:sz w:val="21"/>
                <w:szCs w:val="21"/>
                <w:lang w:val="en-US" w:eastAsia="zh-CN"/>
              </w:rPr>
            </w:pPr>
            <w:r>
              <w:rPr>
                <w:rFonts w:hint="eastAsia" w:ascii="宋体" w:hAnsi="宋体" w:eastAsia="宋体"/>
                <w:sz w:val="21"/>
                <w:szCs w:val="21"/>
                <w:lang w:val="en-US" w:eastAsia="zh-CN"/>
              </w:rPr>
              <w:t>2次/年</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1.安全生产法律法规、强制性标准、规范执行情况；2.安全管理措施和安全责任落 实情况；3.安全三类人员、特种作业人员持证上岗、教育培训和履职尽责情况；</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安监站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4</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建筑业企</w:t>
            </w:r>
          </w:p>
          <w:p>
            <w:pPr>
              <w:spacing w:after="0" w:line="220" w:lineRule="atLeast"/>
              <w:jc w:val="center"/>
              <w:rPr>
                <w:rFonts w:ascii="宋体" w:hAnsi="宋体" w:eastAsia="宋体"/>
                <w:sz w:val="21"/>
                <w:szCs w:val="21"/>
              </w:rPr>
            </w:pPr>
            <w:r>
              <w:rPr>
                <w:rFonts w:hint="eastAsia" w:ascii="宋体" w:hAnsi="宋体" w:eastAsia="宋体"/>
                <w:sz w:val="21"/>
                <w:szCs w:val="21"/>
              </w:rPr>
              <w:t>业资质监</w:t>
            </w:r>
          </w:p>
          <w:p>
            <w:pPr>
              <w:spacing w:after="0" w:line="220" w:lineRule="atLeast"/>
              <w:jc w:val="center"/>
              <w:rPr>
                <w:rFonts w:ascii="宋体" w:hAnsi="宋体" w:eastAsia="宋体"/>
                <w:sz w:val="21"/>
                <w:szCs w:val="21"/>
              </w:rPr>
            </w:pPr>
            <w:r>
              <w:rPr>
                <w:rFonts w:hint="eastAsia" w:ascii="宋体" w:hAnsi="宋体" w:eastAsia="宋体"/>
                <w:sz w:val="21"/>
                <w:szCs w:val="21"/>
              </w:rPr>
              <w:t>督检查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建筑业企业资质管理规定》 ( 住房和城乡建设部令第 2 2 号)第二十四条第一款。</w:t>
            </w:r>
          </w:p>
        </w:tc>
        <w:tc>
          <w:tcPr>
            <w:tcW w:w="44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权限内审批的建筑业企业</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p>
            <w:pPr>
              <w:spacing w:after="0" w:line="220" w:lineRule="atLeast"/>
              <w:jc w:val="center"/>
              <w:rPr>
                <w:rFonts w:ascii="宋体" w:hAnsi="宋体" w:eastAsia="宋体"/>
                <w:sz w:val="21"/>
                <w:szCs w:val="21"/>
              </w:rPr>
            </w:pPr>
            <w:r>
              <w:rPr>
                <w:rFonts w:hint="eastAsia" w:ascii="宋体" w:hAnsi="宋体" w:eastAsia="宋体"/>
                <w:sz w:val="21"/>
                <w:szCs w:val="21"/>
              </w:rPr>
              <w:t>1次/年</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1.资质证书及资产、人员、设备、场地等有关证明材料； 2.施工业务有关文档；3.质量管理、安全生产管理、合同管理、档案管理、财务管理等企业内部管理制度落实情况。</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5</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工程建设</w:t>
            </w:r>
          </w:p>
          <w:p>
            <w:pPr>
              <w:spacing w:after="0" w:line="220" w:lineRule="atLeast"/>
              <w:jc w:val="center"/>
              <w:rPr>
                <w:rFonts w:ascii="宋体" w:hAnsi="宋体" w:eastAsia="宋体"/>
                <w:sz w:val="21"/>
                <w:szCs w:val="21"/>
              </w:rPr>
            </w:pPr>
            <w:r>
              <w:rPr>
                <w:rFonts w:hint="eastAsia" w:ascii="宋体" w:hAnsi="宋体" w:eastAsia="宋体"/>
                <w:sz w:val="21"/>
                <w:szCs w:val="21"/>
              </w:rPr>
              <w:t>强制性标</w:t>
            </w:r>
          </w:p>
          <w:p>
            <w:pPr>
              <w:spacing w:after="0" w:line="220" w:lineRule="atLeast"/>
              <w:jc w:val="center"/>
              <w:rPr>
                <w:rFonts w:ascii="宋体" w:hAnsi="宋体" w:eastAsia="宋体"/>
                <w:sz w:val="21"/>
                <w:szCs w:val="21"/>
              </w:rPr>
            </w:pPr>
            <w:r>
              <w:rPr>
                <w:rFonts w:hint="eastAsia" w:ascii="宋体" w:hAnsi="宋体" w:eastAsia="宋体"/>
                <w:sz w:val="21"/>
                <w:szCs w:val="21"/>
              </w:rPr>
              <w:t>准监督检</w:t>
            </w:r>
          </w:p>
          <w:p>
            <w:pPr>
              <w:spacing w:after="0" w:line="220" w:lineRule="atLeast"/>
              <w:jc w:val="center"/>
              <w:rPr>
                <w:rFonts w:ascii="宋体" w:hAnsi="宋体" w:eastAsia="宋体"/>
                <w:sz w:val="21"/>
                <w:szCs w:val="21"/>
              </w:rPr>
            </w:pPr>
            <w:r>
              <w:rPr>
                <w:rFonts w:hint="eastAsia" w:ascii="宋体" w:hAnsi="宋体" w:eastAsia="宋体"/>
                <w:sz w:val="21"/>
                <w:szCs w:val="21"/>
              </w:rPr>
              <w:t>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《实施工程建设强制性标准监督规定》 (建设部令第81 号)第四条第三款、第九条。</w:t>
            </w:r>
          </w:p>
        </w:tc>
        <w:tc>
          <w:tcPr>
            <w:tcW w:w="446" w:type="pct"/>
            <w:vAlign w:val="center"/>
          </w:tcPr>
          <w:p>
            <w:pPr>
              <w:spacing w:after="0" w:line="220" w:lineRule="atLeast"/>
              <w:jc w:val="center"/>
              <w:rPr>
                <w:rFonts w:ascii="宋体" w:hAnsi="宋体" w:eastAsia="宋体"/>
                <w:sz w:val="21"/>
                <w:szCs w:val="21"/>
              </w:rPr>
            </w:pPr>
            <w:r>
              <w:rPr>
                <w:rFonts w:hint="eastAsia" w:ascii="宋体" w:hAnsi="宋体" w:eastAsia="宋体" w:cs="宋体"/>
                <w:sz w:val="21"/>
                <w:szCs w:val="21"/>
              </w:rPr>
              <w:t>在建房屋建筑和市政基础设施工程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center"/>
              <w:rPr>
                <w:rFonts w:ascii="宋体" w:hAnsi="宋体" w:eastAsia="宋体"/>
                <w:sz w:val="21"/>
                <w:szCs w:val="21"/>
              </w:rPr>
            </w:pPr>
            <w:r>
              <w:rPr>
                <w:rFonts w:hint="eastAsia" w:ascii="宋体" w:hAnsi="宋体" w:eastAsia="宋体"/>
                <w:sz w:val="21"/>
                <w:szCs w:val="21"/>
              </w:rPr>
              <w:t>1次/年</w:t>
            </w:r>
          </w:p>
        </w:tc>
        <w:tc>
          <w:tcPr>
            <w:tcW w:w="38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1.工程技术人员是否熟悉、掌握强制性标准；2.规划、勘察、设计、施工、验收等是否符合强制性标准规定；3. 采用的材料、设备是否符合强制性标准规定；4.安全、质量是否符合强制性标准规定；5.工程中采用的导则、指南、手册、计算机软件的内容是否符合强制性标准规定。</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质监站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5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385"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房屋建筑工程发包与承包监督检查</w:t>
            </w:r>
          </w:p>
        </w:tc>
        <w:tc>
          <w:tcPr>
            <w:tcW w:w="728"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住房和城乡建设部关于印发建筑工程施工发包与承包违法行为认定查处管理办法的通知</w:t>
            </w:r>
            <w:r>
              <w:rPr>
                <w:rFonts w:hint="eastAsia" w:ascii="宋体" w:hAnsi="宋体" w:eastAsia="宋体"/>
                <w:sz w:val="21"/>
                <w:szCs w:val="21"/>
                <w:lang w:eastAsia="zh-CN"/>
              </w:rPr>
              <w:t>》</w:t>
            </w:r>
            <w:r>
              <w:rPr>
                <w:rFonts w:hint="eastAsia" w:ascii="宋体" w:hAnsi="宋体" w:eastAsia="宋体"/>
                <w:sz w:val="21"/>
                <w:szCs w:val="21"/>
                <w:lang w:val="en-US" w:eastAsia="zh-CN"/>
              </w:rPr>
              <w:t>第三条、《保障农民工工资支付条例》第三十九条</w:t>
            </w:r>
          </w:p>
        </w:tc>
        <w:tc>
          <w:tcPr>
            <w:tcW w:w="446" w:type="pct"/>
            <w:vAlign w:val="center"/>
          </w:tcPr>
          <w:p>
            <w:pPr>
              <w:spacing w:after="0" w:line="22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在建房屋建筑工程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1次/年</w:t>
            </w:r>
          </w:p>
        </w:tc>
        <w:tc>
          <w:tcPr>
            <w:tcW w:w="385"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现场检查、书面检查</w:t>
            </w:r>
          </w:p>
        </w:tc>
        <w:tc>
          <w:tcPr>
            <w:tcW w:w="1693" w:type="pct"/>
            <w:vAlign w:val="center"/>
          </w:tcPr>
          <w:p>
            <w:pPr>
              <w:numPr>
                <w:ilvl w:val="0"/>
                <w:numId w:val="1"/>
              </w:num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建筑工程施工是否存在发包与承包；</w:t>
            </w:r>
          </w:p>
          <w:p>
            <w:pPr>
              <w:numPr>
                <w:ilvl w:val="0"/>
                <w:numId w:val="0"/>
              </w:numPr>
              <w:spacing w:after="0" w:line="220" w:lineRule="atLeast"/>
              <w:ind w:firstLine="630" w:firstLineChars="300"/>
              <w:jc w:val="both"/>
              <w:rPr>
                <w:rFonts w:hint="default" w:ascii="宋体" w:hAnsi="宋体" w:eastAsia="宋体"/>
                <w:sz w:val="21"/>
                <w:szCs w:val="21"/>
                <w:lang w:val="en-US" w:eastAsia="zh-CN"/>
              </w:rPr>
            </w:pPr>
            <w:r>
              <w:rPr>
                <w:rFonts w:hint="eastAsia" w:ascii="宋体" w:hAnsi="宋体" w:eastAsia="宋体"/>
                <w:sz w:val="21"/>
                <w:szCs w:val="21"/>
                <w:lang w:val="en-US" w:eastAsia="zh-CN"/>
              </w:rPr>
              <w:t>2.农民工工资支付情况。</w:t>
            </w:r>
          </w:p>
        </w:tc>
        <w:tc>
          <w:tcPr>
            <w:tcW w:w="32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5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7</w:t>
            </w:r>
          </w:p>
        </w:tc>
        <w:tc>
          <w:tcPr>
            <w:tcW w:w="385"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新型墙体材料监督检查</w:t>
            </w:r>
          </w:p>
        </w:tc>
        <w:tc>
          <w:tcPr>
            <w:tcW w:w="728"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河南省住房和城乡建设厅关于改革完善墙体材料革新管理制度的通知</w:t>
            </w:r>
            <w:r>
              <w:rPr>
                <w:rFonts w:hint="eastAsia" w:ascii="宋体" w:hAnsi="宋体" w:eastAsia="宋体"/>
                <w:sz w:val="21"/>
                <w:szCs w:val="21"/>
                <w:lang w:eastAsia="zh-CN"/>
              </w:rPr>
              <w:t>》</w:t>
            </w:r>
          </w:p>
        </w:tc>
        <w:tc>
          <w:tcPr>
            <w:tcW w:w="446" w:type="pct"/>
            <w:vAlign w:val="center"/>
          </w:tcPr>
          <w:p>
            <w:pPr>
              <w:spacing w:after="0" w:line="22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在建房屋建筑工程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10%</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1次/年</w:t>
            </w:r>
          </w:p>
        </w:tc>
        <w:tc>
          <w:tcPr>
            <w:tcW w:w="385"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现场检查、书面检查</w:t>
            </w:r>
          </w:p>
        </w:tc>
        <w:tc>
          <w:tcPr>
            <w:tcW w:w="1693"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1.新型墙材应用；2.建筑节能；3.绿色建筑标准执行情况；4.绿色建材使用情况。</w:t>
            </w:r>
          </w:p>
        </w:tc>
        <w:tc>
          <w:tcPr>
            <w:tcW w:w="32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墙改办</w:t>
            </w:r>
          </w:p>
        </w:tc>
      </w:tr>
    </w:tbl>
    <w:p>
      <w:pPr>
        <w:rPr>
          <w:rFonts w:hint="default" w:ascii="仿宋" w:hAnsi="仿宋" w:eastAsia="仿宋" w:cs="仿宋"/>
          <w:sz w:val="32"/>
          <w:szCs w:val="32"/>
          <w:lang w:val="en-US" w:eastAsia="zh-CN"/>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5510A"/>
    <w:multiLevelType w:val="singleLevel"/>
    <w:tmpl w:val="424551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ZWQyY2JlMTkxNmEyNTYxOWQ2OWZhY2U0OWM3YTMifQ=="/>
  </w:docVars>
  <w:rsids>
    <w:rsidRoot w:val="15E65DFE"/>
    <w:rsid w:val="15E6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2022-07-25T02:51:00Z</dcterms:created>
  <dc:creator>pc</dc:creator>
  <cp:lastModifiedBy>pc</cp:lastModifiedBy>
  <dcterms:modified xsi:type="dcterms:W3CDTF">2022-07-25T02:52:08Z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9E494C5244674A0FA8E18509744815C9</vt:lpwstr>
  </property>
</Properties>
</file>