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庞华北继承</w:t>
      </w:r>
      <w:r>
        <w:rPr>
          <w:rFonts w:hint="eastAsia" w:ascii="宋体" w:hAnsi="宋体" w:eastAsia="宋体"/>
          <w:b/>
          <w:sz w:val="32"/>
          <w:szCs w:val="28"/>
        </w:rPr>
        <w:t>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上河财富广场3栋5单元3层309号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不动产，（已备案房屋买卖合同编号：GF06090509）记载的所有权人为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庞永年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庞永年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5月28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庞华北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  <w:bookmarkStart w:id="0" w:name="_GoBack"/>
      <w:bookmarkEnd w:id="0"/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3E22F59"/>
    <w:rsid w:val="26BF74DF"/>
    <w:rsid w:val="2A29785D"/>
    <w:rsid w:val="2A64292B"/>
    <w:rsid w:val="2D4D3C72"/>
    <w:rsid w:val="2D734C19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98E0C2B"/>
    <w:rsid w:val="59C81A4B"/>
    <w:rsid w:val="5A1D29B5"/>
    <w:rsid w:val="5AC87280"/>
    <w:rsid w:val="5AE54788"/>
    <w:rsid w:val="5D6D2264"/>
    <w:rsid w:val="5D954532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2021-06-30T08:33:31Z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908FBAD2D1454828A3379E5CAE03296C</vt:lpwstr>
  </property>
</Properties>
</file>